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Calibri" w:hAnsi="Calibri" w:eastAsia="方正小标宋简体" w:cs="Calibri"/>
          <w:sz w:val="32"/>
          <w:szCs w:val="32"/>
        </w:rPr>
      </w:pPr>
      <w:r>
        <w:rPr>
          <w:rFonts w:hint="eastAsia" w:ascii="Calibri" w:hAnsi="Calibri" w:eastAsia="方正小标宋简体" w:cs="Calibri"/>
          <w:sz w:val="32"/>
          <w:szCs w:val="32"/>
        </w:rPr>
        <w:t>福建省</w:t>
      </w:r>
      <w:r>
        <w:rPr>
          <w:rFonts w:ascii="Calibri" w:hAnsi="Calibri" w:eastAsia="方正小标宋简体" w:cs="Calibri"/>
          <w:sz w:val="32"/>
          <w:szCs w:val="32"/>
        </w:rPr>
        <w:t>产品质量监督抽查实施细则</w:t>
      </w:r>
    </w:p>
    <w:p>
      <w:pPr>
        <w:snapToGrid w:val="0"/>
        <w:spacing w:line="360" w:lineRule="auto"/>
        <w:jc w:val="center"/>
        <w:rPr>
          <w:rFonts w:ascii="宋体" w:hAnsi="宋体"/>
          <w:szCs w:val="21"/>
        </w:rPr>
      </w:pPr>
      <w:r>
        <w:rPr>
          <w:rFonts w:hint="eastAsia" w:ascii="方正小标宋简体" w:hAnsi="仿宋" w:eastAsia="方正小标宋简体" w:cs="方正仿宋简体"/>
          <w:sz w:val="32"/>
          <w:szCs w:val="32"/>
        </w:rPr>
        <w:t>泳装</w:t>
      </w: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color w:val="000000"/>
          <w:szCs w:val="21"/>
        </w:rPr>
      </w:pPr>
      <w:r>
        <w:rPr>
          <w:color w:val="000000"/>
          <w:szCs w:val="21"/>
        </w:rPr>
        <w:t>随机数一般可使用随机数表等方法产生。</w:t>
      </w:r>
    </w:p>
    <w:p>
      <w:pPr>
        <w:snapToGrid w:val="0"/>
        <w:spacing w:line="440" w:lineRule="exact"/>
        <w:ind w:firstLine="420" w:firstLineChars="200"/>
        <w:rPr>
          <w:color w:val="000000"/>
          <w:szCs w:val="21"/>
        </w:rPr>
      </w:pPr>
      <w:r>
        <w:t>连体式泳衣</w:t>
      </w:r>
      <w:r>
        <w:rPr>
          <w:rFonts w:hint="eastAsia"/>
        </w:rPr>
        <w:t>：</w:t>
      </w:r>
      <w:r>
        <w:rPr>
          <w:color w:val="000000"/>
          <w:szCs w:val="21"/>
        </w:rPr>
        <w:t>每批次产品抽取样品</w:t>
      </w:r>
      <w:r>
        <w:rPr>
          <w:rFonts w:asciiTheme="minorEastAsia" w:hAnsiTheme="minorEastAsia" w:eastAsiaTheme="minorEastAsia"/>
          <w:color w:val="000000" w:themeColor="text1"/>
          <w:szCs w:val="21"/>
        </w:rPr>
        <w:t>4</w:t>
      </w:r>
      <w:r>
        <w:rPr>
          <w:rFonts w:hint="eastAsia" w:asciiTheme="minorEastAsia" w:hAnsiTheme="minorEastAsia" w:eastAsiaTheme="minorEastAsia"/>
          <w:color w:val="000000" w:themeColor="text1"/>
          <w:szCs w:val="21"/>
        </w:rPr>
        <w:t>件</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套</w:t>
      </w:r>
      <w:r>
        <w:rPr>
          <w:color w:val="000000"/>
          <w:szCs w:val="21"/>
        </w:rPr>
        <w:t>，其中</w:t>
      </w:r>
      <w:r>
        <w:rPr>
          <w:rFonts w:asciiTheme="minorEastAsia" w:hAnsiTheme="minorEastAsia" w:eastAsiaTheme="minorEastAsia"/>
          <w:color w:val="000000" w:themeColor="text1"/>
          <w:szCs w:val="21"/>
        </w:rPr>
        <w:t>2</w:t>
      </w:r>
      <w:r>
        <w:rPr>
          <w:rFonts w:hint="eastAsia" w:asciiTheme="minorEastAsia" w:hAnsiTheme="minorEastAsia" w:eastAsiaTheme="minorEastAsia"/>
          <w:color w:val="000000" w:themeColor="text1"/>
          <w:szCs w:val="21"/>
        </w:rPr>
        <w:t>件</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套</w:t>
      </w:r>
      <w:r>
        <w:rPr>
          <w:color w:val="000000"/>
          <w:szCs w:val="21"/>
        </w:rPr>
        <w:t>作为检验样品，</w:t>
      </w:r>
      <w:r>
        <w:rPr>
          <w:rFonts w:asciiTheme="minorEastAsia" w:hAnsiTheme="minorEastAsia" w:eastAsiaTheme="minorEastAsia"/>
          <w:color w:val="000000" w:themeColor="text1"/>
          <w:szCs w:val="21"/>
        </w:rPr>
        <w:t>2</w:t>
      </w:r>
      <w:r>
        <w:rPr>
          <w:rFonts w:hint="eastAsia" w:asciiTheme="minorEastAsia" w:hAnsiTheme="minorEastAsia" w:eastAsiaTheme="minorEastAsia"/>
          <w:color w:val="000000" w:themeColor="text1"/>
          <w:szCs w:val="21"/>
        </w:rPr>
        <w:t>件</w:t>
      </w:r>
      <w:r>
        <w:rPr>
          <w:rFonts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rPr>
        <w:t>套</w:t>
      </w:r>
      <w:r>
        <w:rPr>
          <w:color w:val="000000"/>
          <w:szCs w:val="21"/>
        </w:rPr>
        <w:t>为备用样品。</w:t>
      </w:r>
      <w:r>
        <w:t>分体式泳衣、泳裤</w:t>
      </w:r>
      <w:r>
        <w:rPr>
          <w:rFonts w:hint="eastAsia"/>
        </w:rPr>
        <w:t>：</w:t>
      </w:r>
      <w:r>
        <w:rPr>
          <w:color w:val="000000"/>
          <w:szCs w:val="21"/>
        </w:rPr>
        <w:t>每批次产品抽取样品</w:t>
      </w:r>
      <w:r>
        <w:t>10 件/条/套</w:t>
      </w:r>
      <w:r>
        <w:rPr>
          <w:color w:val="000000"/>
          <w:szCs w:val="21"/>
        </w:rPr>
        <w:t>，其中</w:t>
      </w:r>
      <w:r>
        <w:t>6件/条/套</w:t>
      </w:r>
      <w:r>
        <w:rPr>
          <w:color w:val="000000"/>
          <w:szCs w:val="21"/>
        </w:rPr>
        <w:t>作为检验样品，</w:t>
      </w:r>
      <w:r>
        <w:t>4件/条/套</w:t>
      </w:r>
      <w:r>
        <w:rPr>
          <w:color w:val="000000"/>
          <w:szCs w:val="21"/>
        </w:rPr>
        <w:t>为备用样品。</w:t>
      </w:r>
      <w:r>
        <w:rPr>
          <w:rFonts w:hint="eastAsia"/>
          <w:color w:val="000000"/>
          <w:szCs w:val="21"/>
        </w:rPr>
        <w:t>（</w:t>
      </w:r>
      <w:r>
        <w:t>如样品过小，可适当增加抽样数量，但不得超过检验、复检的合理需要。</w:t>
      </w:r>
      <w:r>
        <w:rPr>
          <w:rFonts w:hint="eastAsia"/>
          <w:color w:val="000000"/>
          <w:szCs w:val="21"/>
        </w:rPr>
        <w:t>）</w:t>
      </w: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jc w:val="center"/>
        <w:rPr>
          <w:color w:val="000000"/>
          <w:szCs w:val="21"/>
        </w:rPr>
      </w:pPr>
      <w:r>
        <w:rPr>
          <w:color w:val="000000"/>
          <w:szCs w:val="21"/>
        </w:rPr>
        <w:t>表1检验项目</w:t>
      </w:r>
    </w:p>
    <w:tbl>
      <w:tblPr>
        <w:tblStyle w:val="8"/>
        <w:tblW w:w="6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
        <w:gridCol w:w="3141"/>
        <w:gridCol w:w="2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vAlign w:val="center"/>
          </w:tcPr>
          <w:p>
            <w:pPr>
              <w:snapToGrid w:val="0"/>
              <w:spacing w:line="440" w:lineRule="exact"/>
              <w:jc w:val="center"/>
              <w:rPr>
                <w:szCs w:val="21"/>
              </w:rPr>
            </w:pPr>
            <w:r>
              <w:rPr>
                <w:szCs w:val="21"/>
              </w:rPr>
              <w:t>序号</w:t>
            </w:r>
          </w:p>
        </w:tc>
        <w:tc>
          <w:tcPr>
            <w:tcW w:w="3141" w:type="dxa"/>
            <w:vAlign w:val="center"/>
          </w:tcPr>
          <w:p>
            <w:pPr>
              <w:snapToGrid w:val="0"/>
              <w:spacing w:line="440" w:lineRule="exact"/>
              <w:jc w:val="center"/>
              <w:rPr>
                <w:szCs w:val="21"/>
              </w:rPr>
            </w:pPr>
            <w:r>
              <w:rPr>
                <w:szCs w:val="21"/>
              </w:rPr>
              <w:t>检验项目</w:t>
            </w:r>
          </w:p>
        </w:tc>
        <w:tc>
          <w:tcPr>
            <w:tcW w:w="2529" w:type="dxa"/>
            <w:vAlign w:val="center"/>
          </w:tcPr>
          <w:p>
            <w:pPr>
              <w:snapToGrid w:val="0"/>
              <w:spacing w:line="440" w:lineRule="exact"/>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vAlign w:val="center"/>
          </w:tcPr>
          <w:p>
            <w:pPr>
              <w:snapToGrid w:val="0"/>
              <w:spacing w:line="440" w:lineRule="exact"/>
              <w:jc w:val="center"/>
              <w:rPr>
                <w:szCs w:val="21"/>
              </w:rPr>
            </w:pPr>
            <w:r>
              <w:rPr>
                <w:szCs w:val="21"/>
              </w:rPr>
              <w:t>1</w:t>
            </w:r>
          </w:p>
        </w:tc>
        <w:tc>
          <w:tcPr>
            <w:tcW w:w="3141" w:type="dxa"/>
            <w:vAlign w:val="center"/>
          </w:tcPr>
          <w:p>
            <w:pPr>
              <w:adjustRightInd w:val="0"/>
              <w:snapToGrid w:val="0"/>
              <w:jc w:val="center"/>
              <w:rPr>
                <w:rFonts w:ascii="宋体" w:hAnsi="宋体"/>
                <w:szCs w:val="21"/>
              </w:rPr>
            </w:pPr>
            <w:r>
              <w:rPr>
                <w:rFonts w:hint="eastAsia" w:ascii="宋体" w:hAnsi="宋体"/>
                <w:szCs w:val="21"/>
              </w:rPr>
              <w:t>甲醛含量</w:t>
            </w:r>
          </w:p>
        </w:tc>
        <w:tc>
          <w:tcPr>
            <w:tcW w:w="2529" w:type="dxa"/>
            <w:vAlign w:val="center"/>
          </w:tcPr>
          <w:p>
            <w:pPr>
              <w:adjustRightInd w:val="0"/>
              <w:snapToGrid w:val="0"/>
              <w:jc w:val="center"/>
              <w:rPr>
                <w:rFonts w:ascii="宋体" w:hAnsi="宋体"/>
                <w:szCs w:val="21"/>
              </w:rPr>
            </w:pPr>
            <w:r>
              <w:rPr>
                <w:rFonts w:hint="eastAsia" w:ascii="宋体" w:hAnsi="宋体"/>
                <w:szCs w:val="21"/>
              </w:rPr>
              <w:t>GB/T 2912.1</w:t>
            </w:r>
            <w:r>
              <w:rPr>
                <w:rFonts w:hint="eastAsia" w:ascii="仿宋" w:hAnsi="仿宋" w:eastAsia="仿宋" w:cs="仿宋"/>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vAlign w:val="center"/>
          </w:tcPr>
          <w:p>
            <w:pPr>
              <w:snapToGrid w:val="0"/>
              <w:spacing w:line="440" w:lineRule="exact"/>
              <w:jc w:val="center"/>
              <w:rPr>
                <w:szCs w:val="21"/>
              </w:rPr>
            </w:pPr>
            <w:r>
              <w:rPr>
                <w:szCs w:val="21"/>
              </w:rPr>
              <w:t>2</w:t>
            </w:r>
          </w:p>
        </w:tc>
        <w:tc>
          <w:tcPr>
            <w:tcW w:w="3141" w:type="dxa"/>
            <w:vAlign w:val="center"/>
          </w:tcPr>
          <w:p>
            <w:pPr>
              <w:adjustRightInd w:val="0"/>
              <w:snapToGrid w:val="0"/>
              <w:jc w:val="center"/>
              <w:rPr>
                <w:rFonts w:ascii="宋体" w:hAnsi="宋体"/>
                <w:szCs w:val="21"/>
              </w:rPr>
            </w:pPr>
            <w:r>
              <w:rPr>
                <w:rFonts w:hint="eastAsia" w:ascii="宋体" w:hAnsi="宋体"/>
                <w:szCs w:val="21"/>
              </w:rPr>
              <w:t>pH值</w:t>
            </w:r>
          </w:p>
        </w:tc>
        <w:tc>
          <w:tcPr>
            <w:tcW w:w="2529" w:type="dxa"/>
            <w:vAlign w:val="center"/>
          </w:tcPr>
          <w:p>
            <w:pPr>
              <w:adjustRightInd w:val="0"/>
              <w:snapToGrid w:val="0"/>
              <w:jc w:val="center"/>
              <w:rPr>
                <w:rFonts w:ascii="宋体" w:hAnsi="宋体"/>
                <w:szCs w:val="21"/>
              </w:rPr>
            </w:pPr>
            <w:r>
              <w:rPr>
                <w:rFonts w:hint="eastAsia" w:ascii="宋体" w:hAnsi="宋体"/>
                <w:szCs w:val="21"/>
              </w:rPr>
              <w:t>GB/T 7573</w:t>
            </w:r>
            <w:r>
              <w:rPr>
                <w:rFonts w:hint="eastAsia" w:ascii="仿宋" w:hAnsi="仿宋" w:eastAsia="仿宋" w:cs="仿宋"/>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vAlign w:val="center"/>
          </w:tcPr>
          <w:p>
            <w:pPr>
              <w:snapToGrid w:val="0"/>
              <w:spacing w:line="440" w:lineRule="exact"/>
              <w:jc w:val="center"/>
              <w:rPr>
                <w:szCs w:val="21"/>
              </w:rPr>
            </w:pPr>
            <w:r>
              <w:rPr>
                <w:szCs w:val="21"/>
              </w:rPr>
              <w:t>3</w:t>
            </w:r>
          </w:p>
        </w:tc>
        <w:tc>
          <w:tcPr>
            <w:tcW w:w="3141" w:type="dxa"/>
            <w:vAlign w:val="center"/>
          </w:tcPr>
          <w:p>
            <w:pPr>
              <w:adjustRightInd w:val="0"/>
              <w:snapToGrid w:val="0"/>
              <w:jc w:val="center"/>
              <w:rPr>
                <w:rFonts w:ascii="宋体" w:hAnsi="宋体"/>
                <w:szCs w:val="21"/>
              </w:rPr>
            </w:pPr>
            <w:r>
              <w:rPr>
                <w:rFonts w:hint="eastAsia" w:ascii="宋体" w:hAnsi="宋体"/>
                <w:szCs w:val="21"/>
              </w:rPr>
              <w:t>可分解致癌芳香胺染料</w:t>
            </w:r>
          </w:p>
        </w:tc>
        <w:tc>
          <w:tcPr>
            <w:tcW w:w="2529" w:type="dxa"/>
            <w:vAlign w:val="center"/>
          </w:tcPr>
          <w:p>
            <w:pPr>
              <w:adjustRightInd w:val="0"/>
              <w:snapToGrid w:val="0"/>
              <w:jc w:val="center"/>
              <w:rPr>
                <w:rFonts w:ascii="宋体" w:hAnsi="宋体"/>
                <w:szCs w:val="21"/>
              </w:rPr>
            </w:pPr>
            <w:r>
              <w:rPr>
                <w:rFonts w:hint="eastAsia" w:ascii="宋体" w:hAnsi="宋体"/>
                <w:szCs w:val="21"/>
              </w:rPr>
              <w:t>GB/T 17592</w:t>
            </w:r>
            <w:r>
              <w:rPr>
                <w:rFonts w:hint="eastAsia" w:ascii="仿宋" w:hAnsi="仿宋" w:eastAsia="仿宋" w:cs="仿宋"/>
                <w:szCs w:val="21"/>
              </w:rPr>
              <w:t>-2011</w:t>
            </w:r>
          </w:p>
          <w:p>
            <w:pPr>
              <w:adjustRightInd w:val="0"/>
              <w:snapToGrid w:val="0"/>
              <w:jc w:val="center"/>
              <w:rPr>
                <w:rFonts w:ascii="宋体" w:hAnsi="宋体"/>
                <w:szCs w:val="21"/>
              </w:rPr>
            </w:pPr>
            <w:r>
              <w:rPr>
                <w:rFonts w:hint="eastAsia" w:ascii="宋体" w:hAnsi="宋体"/>
                <w:szCs w:val="21"/>
              </w:rPr>
              <w:t>GB/T 23344</w:t>
            </w:r>
            <w:r>
              <w:rPr>
                <w:rFonts w:hint="eastAsia" w:ascii="仿宋" w:hAnsi="仿宋" w:eastAsia="仿宋" w:cs="仿宋"/>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vAlign w:val="center"/>
          </w:tcPr>
          <w:p>
            <w:pPr>
              <w:snapToGrid w:val="0"/>
              <w:spacing w:line="440" w:lineRule="exact"/>
              <w:jc w:val="center"/>
              <w:rPr>
                <w:szCs w:val="21"/>
              </w:rPr>
            </w:pPr>
            <w:r>
              <w:rPr>
                <w:szCs w:val="21"/>
              </w:rPr>
              <w:t>4</w:t>
            </w:r>
          </w:p>
        </w:tc>
        <w:tc>
          <w:tcPr>
            <w:tcW w:w="3141" w:type="dxa"/>
            <w:vAlign w:val="center"/>
          </w:tcPr>
          <w:p>
            <w:pPr>
              <w:adjustRightInd w:val="0"/>
              <w:snapToGrid w:val="0"/>
              <w:jc w:val="center"/>
              <w:rPr>
                <w:rFonts w:ascii="宋体" w:hAnsi="宋体"/>
                <w:szCs w:val="21"/>
              </w:rPr>
            </w:pPr>
            <w:r>
              <w:rPr>
                <w:rFonts w:hint="eastAsia" w:ascii="宋体" w:hAnsi="宋体"/>
                <w:szCs w:val="21"/>
              </w:rPr>
              <w:t>耐水色牢度</w:t>
            </w:r>
          </w:p>
        </w:tc>
        <w:tc>
          <w:tcPr>
            <w:tcW w:w="2529" w:type="dxa"/>
            <w:vAlign w:val="center"/>
          </w:tcPr>
          <w:p>
            <w:pPr>
              <w:adjustRightInd w:val="0"/>
              <w:snapToGrid w:val="0"/>
              <w:jc w:val="center"/>
              <w:rPr>
                <w:rFonts w:ascii="宋体" w:hAnsi="宋体"/>
                <w:szCs w:val="21"/>
              </w:rPr>
            </w:pPr>
            <w:r>
              <w:rPr>
                <w:rFonts w:hint="eastAsia" w:ascii="宋体" w:hAnsi="宋体"/>
                <w:szCs w:val="21"/>
              </w:rPr>
              <w:t>GB/T 5713</w:t>
            </w:r>
            <w:r>
              <w:rPr>
                <w:rFonts w:hint="eastAsia" w:ascii="仿宋" w:hAnsi="仿宋" w:eastAsia="仿宋" w:cs="仿宋"/>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vAlign w:val="center"/>
          </w:tcPr>
          <w:p>
            <w:pPr>
              <w:snapToGrid w:val="0"/>
              <w:spacing w:line="440" w:lineRule="exact"/>
              <w:jc w:val="center"/>
              <w:rPr>
                <w:szCs w:val="21"/>
              </w:rPr>
            </w:pPr>
            <w:r>
              <w:rPr>
                <w:szCs w:val="21"/>
              </w:rPr>
              <w:t>5</w:t>
            </w:r>
          </w:p>
        </w:tc>
        <w:tc>
          <w:tcPr>
            <w:tcW w:w="3141" w:type="dxa"/>
            <w:vAlign w:val="center"/>
          </w:tcPr>
          <w:p>
            <w:pPr>
              <w:adjustRightInd w:val="0"/>
              <w:snapToGrid w:val="0"/>
              <w:jc w:val="center"/>
              <w:rPr>
                <w:rFonts w:ascii="宋体" w:hAnsi="宋体"/>
                <w:szCs w:val="21"/>
              </w:rPr>
            </w:pPr>
            <w:r>
              <w:rPr>
                <w:rFonts w:hint="eastAsia" w:ascii="宋体" w:hAnsi="宋体"/>
                <w:szCs w:val="21"/>
              </w:rPr>
              <w:t>耐汗渍色牢度</w:t>
            </w:r>
          </w:p>
        </w:tc>
        <w:tc>
          <w:tcPr>
            <w:tcW w:w="2529" w:type="dxa"/>
            <w:vAlign w:val="center"/>
          </w:tcPr>
          <w:p>
            <w:pPr>
              <w:adjustRightInd w:val="0"/>
              <w:snapToGrid w:val="0"/>
              <w:jc w:val="center"/>
              <w:rPr>
                <w:rFonts w:ascii="宋体" w:hAnsi="宋体"/>
                <w:strike/>
                <w:szCs w:val="21"/>
              </w:rPr>
            </w:pPr>
            <w:r>
              <w:rPr>
                <w:rFonts w:hint="eastAsia" w:ascii="仿宋" w:hAnsi="仿宋" w:eastAsia="仿宋" w:cs="仿宋"/>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vAlign w:val="center"/>
          </w:tcPr>
          <w:p>
            <w:pPr>
              <w:snapToGrid w:val="0"/>
              <w:spacing w:line="440" w:lineRule="exact"/>
              <w:jc w:val="center"/>
              <w:rPr>
                <w:szCs w:val="21"/>
              </w:rPr>
            </w:pPr>
            <w:r>
              <w:rPr>
                <w:szCs w:val="21"/>
              </w:rPr>
              <w:t>6</w:t>
            </w:r>
          </w:p>
        </w:tc>
        <w:tc>
          <w:tcPr>
            <w:tcW w:w="3141" w:type="dxa"/>
            <w:vAlign w:val="center"/>
          </w:tcPr>
          <w:p>
            <w:pPr>
              <w:adjustRightInd w:val="0"/>
              <w:snapToGrid w:val="0"/>
              <w:jc w:val="center"/>
              <w:rPr>
                <w:rFonts w:ascii="宋体" w:hAnsi="宋体"/>
                <w:szCs w:val="21"/>
              </w:rPr>
            </w:pPr>
            <w:r>
              <w:rPr>
                <w:rFonts w:hint="eastAsia" w:ascii="宋体" w:hAnsi="宋体"/>
                <w:szCs w:val="21"/>
              </w:rPr>
              <w:t>耐干摩擦色牢度</w:t>
            </w:r>
          </w:p>
        </w:tc>
        <w:tc>
          <w:tcPr>
            <w:tcW w:w="2529" w:type="dxa"/>
            <w:vAlign w:val="center"/>
          </w:tcPr>
          <w:p>
            <w:pPr>
              <w:adjustRightInd w:val="0"/>
              <w:snapToGrid w:val="0"/>
              <w:jc w:val="center"/>
              <w:rPr>
                <w:rFonts w:ascii="宋体" w:hAnsi="宋体"/>
                <w:szCs w:val="21"/>
              </w:rPr>
            </w:pPr>
            <w:r>
              <w:rPr>
                <w:rFonts w:hint="eastAsia" w:ascii="宋体" w:hAnsi="宋体"/>
                <w:szCs w:val="21"/>
              </w:rPr>
              <w:t>GB/T 3920</w:t>
            </w:r>
            <w:r>
              <w:rPr>
                <w:rFonts w:hint="eastAsia" w:ascii="仿宋" w:hAnsi="仿宋" w:eastAsia="仿宋" w:cs="仿宋"/>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vAlign w:val="center"/>
          </w:tcPr>
          <w:p>
            <w:pPr>
              <w:snapToGrid w:val="0"/>
              <w:spacing w:line="440" w:lineRule="exact"/>
              <w:jc w:val="center"/>
              <w:rPr>
                <w:szCs w:val="21"/>
              </w:rPr>
            </w:pPr>
            <w:r>
              <w:rPr>
                <w:rFonts w:hint="eastAsia"/>
                <w:szCs w:val="21"/>
              </w:rPr>
              <w:t>7</w:t>
            </w:r>
          </w:p>
        </w:tc>
        <w:tc>
          <w:tcPr>
            <w:tcW w:w="3141" w:type="dxa"/>
            <w:vAlign w:val="center"/>
          </w:tcPr>
          <w:p>
            <w:pPr>
              <w:adjustRightInd w:val="0"/>
              <w:snapToGrid w:val="0"/>
              <w:jc w:val="center"/>
              <w:rPr>
                <w:rFonts w:ascii="宋体" w:hAnsi="宋体"/>
                <w:szCs w:val="21"/>
              </w:rPr>
            </w:pPr>
            <w:r>
              <w:rPr>
                <w:rFonts w:hint="eastAsia" w:ascii="宋体" w:hAnsi="宋体"/>
                <w:szCs w:val="21"/>
              </w:rPr>
              <w:t>耐海水色牢度</w:t>
            </w:r>
          </w:p>
        </w:tc>
        <w:tc>
          <w:tcPr>
            <w:tcW w:w="2529" w:type="dxa"/>
            <w:vAlign w:val="center"/>
          </w:tcPr>
          <w:p>
            <w:pPr>
              <w:adjustRightInd w:val="0"/>
              <w:snapToGrid w:val="0"/>
              <w:jc w:val="center"/>
              <w:rPr>
                <w:rFonts w:ascii="仿宋" w:hAnsi="仿宋" w:eastAsia="仿宋" w:cs="仿宋"/>
                <w:szCs w:val="21"/>
              </w:rPr>
            </w:pPr>
            <w:r>
              <w:rPr>
                <w:rFonts w:hint="eastAsia" w:ascii="宋体" w:hAnsi="宋体"/>
                <w:szCs w:val="21"/>
              </w:rPr>
              <w:t>GB/T 5714</w:t>
            </w:r>
            <w:r>
              <w:rPr>
                <w:rFonts w:hint="eastAsia" w:ascii="仿宋" w:hAnsi="仿宋" w:eastAsia="仿宋" w:cs="仿宋"/>
                <w:szCs w:val="21"/>
              </w:rPr>
              <w:t>-1997</w:t>
            </w:r>
          </w:p>
          <w:p>
            <w:pPr>
              <w:adjustRightInd w:val="0"/>
              <w:snapToGrid w:val="0"/>
              <w:jc w:val="center"/>
              <w:rPr>
                <w:rFonts w:ascii="仿宋" w:hAnsi="仿宋" w:eastAsia="仿宋" w:cs="仿宋"/>
                <w:szCs w:val="21"/>
              </w:rPr>
            </w:pPr>
            <w:r>
              <w:rPr>
                <w:rFonts w:hint="eastAsia" w:ascii="宋体" w:hAnsi="宋体"/>
                <w:szCs w:val="21"/>
              </w:rPr>
              <w:t>GB/T 5714</w:t>
            </w:r>
            <w:r>
              <w:rPr>
                <w:rFonts w:hint="eastAsia" w:ascii="仿宋" w:hAnsi="仿宋" w:eastAsia="仿宋" w:cs="仿宋"/>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vAlign w:val="center"/>
          </w:tcPr>
          <w:p>
            <w:pPr>
              <w:snapToGrid w:val="0"/>
              <w:spacing w:line="440" w:lineRule="exact"/>
              <w:jc w:val="center"/>
              <w:rPr>
                <w:szCs w:val="21"/>
              </w:rPr>
            </w:pPr>
            <w:r>
              <w:rPr>
                <w:rFonts w:hint="eastAsia"/>
                <w:szCs w:val="21"/>
              </w:rPr>
              <w:t>8</w:t>
            </w:r>
          </w:p>
        </w:tc>
        <w:tc>
          <w:tcPr>
            <w:tcW w:w="3141" w:type="dxa"/>
            <w:vAlign w:val="center"/>
          </w:tcPr>
          <w:p>
            <w:pPr>
              <w:adjustRightInd w:val="0"/>
              <w:snapToGrid w:val="0"/>
              <w:jc w:val="center"/>
              <w:rPr>
                <w:rFonts w:ascii="宋体" w:hAnsi="宋体"/>
                <w:szCs w:val="21"/>
              </w:rPr>
            </w:pPr>
            <w:r>
              <w:rPr>
                <w:rFonts w:hint="eastAsia" w:ascii="宋体" w:hAnsi="宋体"/>
                <w:szCs w:val="21"/>
              </w:rPr>
              <w:t>耐氯化水（游泳池水）色牢度</w:t>
            </w:r>
          </w:p>
        </w:tc>
        <w:tc>
          <w:tcPr>
            <w:tcW w:w="2529" w:type="dxa"/>
            <w:vAlign w:val="center"/>
          </w:tcPr>
          <w:p>
            <w:pPr>
              <w:adjustRightInd w:val="0"/>
              <w:snapToGrid w:val="0"/>
              <w:jc w:val="center"/>
              <w:rPr>
                <w:rFonts w:ascii="宋体" w:hAnsi="宋体"/>
                <w:szCs w:val="21"/>
              </w:rPr>
            </w:pPr>
            <w:r>
              <w:rPr>
                <w:rFonts w:hint="eastAsia" w:ascii="宋体" w:hAnsi="宋体"/>
                <w:szCs w:val="21"/>
              </w:rPr>
              <w:t>GB/T 8433</w:t>
            </w:r>
            <w:r>
              <w:rPr>
                <w:rFonts w:hint="eastAsia" w:ascii="仿宋" w:hAnsi="仿宋" w:eastAsia="仿宋" w:cs="仿宋"/>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vAlign w:val="center"/>
          </w:tcPr>
          <w:p>
            <w:pPr>
              <w:snapToGrid w:val="0"/>
              <w:spacing w:line="440" w:lineRule="exact"/>
              <w:jc w:val="center"/>
              <w:rPr>
                <w:szCs w:val="21"/>
              </w:rPr>
            </w:pPr>
            <w:r>
              <w:rPr>
                <w:szCs w:val="21"/>
              </w:rPr>
              <w:t>9</w:t>
            </w:r>
          </w:p>
        </w:tc>
        <w:tc>
          <w:tcPr>
            <w:tcW w:w="3141" w:type="dxa"/>
            <w:vAlign w:val="center"/>
          </w:tcPr>
          <w:p>
            <w:pPr>
              <w:adjustRightInd w:val="0"/>
              <w:snapToGrid w:val="0"/>
              <w:jc w:val="center"/>
              <w:rPr>
                <w:rFonts w:ascii="宋体" w:hAnsi="宋体"/>
                <w:szCs w:val="21"/>
              </w:rPr>
            </w:pPr>
            <w:r>
              <w:rPr>
                <w:rFonts w:hint="eastAsia" w:ascii="宋体" w:hAnsi="宋体"/>
                <w:szCs w:val="21"/>
              </w:rPr>
              <w:t>纤维成分含量</w:t>
            </w:r>
          </w:p>
        </w:tc>
        <w:tc>
          <w:tcPr>
            <w:tcW w:w="2529" w:type="dxa"/>
            <w:vAlign w:val="center"/>
          </w:tcPr>
          <w:p>
            <w:pPr>
              <w:spacing w:line="380" w:lineRule="exact"/>
              <w:jc w:val="center"/>
              <w:rPr>
                <w:rFonts w:ascii="仿宋" w:hAnsi="仿宋" w:eastAsia="仿宋" w:cs="仿宋"/>
                <w:szCs w:val="21"/>
              </w:rPr>
            </w:pPr>
            <w:r>
              <w:rPr>
                <w:rFonts w:hint="eastAsia" w:ascii="仿宋" w:hAnsi="仿宋" w:eastAsia="仿宋" w:cs="仿宋"/>
                <w:szCs w:val="21"/>
              </w:rPr>
              <w:t>FZ/T 01057.1-2007</w:t>
            </w:r>
          </w:p>
          <w:p>
            <w:pPr>
              <w:spacing w:line="380" w:lineRule="exact"/>
              <w:jc w:val="center"/>
              <w:rPr>
                <w:rFonts w:ascii="仿宋" w:hAnsi="仿宋" w:eastAsia="仿宋" w:cs="仿宋"/>
                <w:szCs w:val="21"/>
              </w:rPr>
            </w:pPr>
            <w:r>
              <w:rPr>
                <w:rFonts w:hint="eastAsia" w:ascii="仿宋" w:hAnsi="仿宋" w:eastAsia="仿宋" w:cs="仿宋"/>
                <w:szCs w:val="21"/>
              </w:rPr>
              <w:t>FZ/T 01057.2-2007</w:t>
            </w:r>
          </w:p>
          <w:p>
            <w:pPr>
              <w:spacing w:line="380" w:lineRule="exact"/>
              <w:jc w:val="center"/>
              <w:rPr>
                <w:rFonts w:ascii="仿宋" w:hAnsi="仿宋" w:eastAsia="仿宋" w:cs="仿宋"/>
                <w:szCs w:val="21"/>
              </w:rPr>
            </w:pPr>
            <w:r>
              <w:rPr>
                <w:rFonts w:hint="eastAsia" w:ascii="仿宋" w:hAnsi="仿宋" w:eastAsia="仿宋" w:cs="仿宋"/>
                <w:szCs w:val="21"/>
              </w:rPr>
              <w:t>FZ/T 01057.3-2007</w:t>
            </w:r>
          </w:p>
          <w:p>
            <w:pPr>
              <w:spacing w:line="380" w:lineRule="exact"/>
              <w:jc w:val="center"/>
              <w:rPr>
                <w:rFonts w:ascii="仿宋" w:hAnsi="仿宋" w:eastAsia="仿宋" w:cs="仿宋"/>
                <w:szCs w:val="21"/>
              </w:rPr>
            </w:pPr>
            <w:r>
              <w:rPr>
                <w:rFonts w:hint="eastAsia" w:ascii="仿宋" w:hAnsi="仿宋" w:eastAsia="仿宋" w:cs="仿宋"/>
                <w:szCs w:val="21"/>
              </w:rPr>
              <w:t>FZ/T 01057.4-2007</w:t>
            </w:r>
          </w:p>
          <w:p>
            <w:pPr>
              <w:spacing w:line="380" w:lineRule="exact"/>
              <w:jc w:val="center"/>
              <w:rPr>
                <w:rFonts w:ascii="仿宋" w:hAnsi="仿宋" w:eastAsia="仿宋" w:cs="仿宋"/>
                <w:szCs w:val="21"/>
              </w:rPr>
            </w:pPr>
            <w:r>
              <w:rPr>
                <w:rFonts w:hint="eastAsia" w:ascii="仿宋" w:hAnsi="仿宋" w:eastAsia="仿宋" w:cs="仿宋"/>
                <w:szCs w:val="21"/>
              </w:rPr>
              <w:t>GB/T 2910.1-2009</w:t>
            </w:r>
          </w:p>
          <w:p>
            <w:pPr>
              <w:spacing w:line="380" w:lineRule="exact"/>
              <w:jc w:val="center"/>
              <w:rPr>
                <w:rFonts w:ascii="仿宋" w:hAnsi="仿宋" w:eastAsia="仿宋" w:cs="仿宋"/>
                <w:szCs w:val="21"/>
              </w:rPr>
            </w:pPr>
            <w:r>
              <w:rPr>
                <w:rFonts w:hint="eastAsia" w:ascii="仿宋" w:hAnsi="仿宋" w:eastAsia="仿宋" w:cs="仿宋"/>
                <w:szCs w:val="21"/>
              </w:rPr>
              <w:t>GB/T 2910.2-2009</w:t>
            </w:r>
          </w:p>
          <w:p>
            <w:pPr>
              <w:spacing w:line="380" w:lineRule="exact"/>
              <w:jc w:val="center"/>
              <w:rPr>
                <w:rFonts w:ascii="仿宋" w:hAnsi="仿宋" w:eastAsia="仿宋" w:cs="仿宋"/>
                <w:szCs w:val="21"/>
              </w:rPr>
            </w:pPr>
            <w:r>
              <w:rPr>
                <w:rFonts w:hint="eastAsia" w:ascii="仿宋" w:hAnsi="仿宋" w:eastAsia="仿宋" w:cs="仿宋"/>
                <w:szCs w:val="21"/>
              </w:rPr>
              <w:t>GB/T 2910.3-2009</w:t>
            </w:r>
          </w:p>
          <w:p>
            <w:pPr>
              <w:spacing w:line="380" w:lineRule="exact"/>
              <w:jc w:val="center"/>
              <w:rPr>
                <w:rFonts w:ascii="仿宋" w:hAnsi="仿宋" w:eastAsia="仿宋" w:cs="仿宋"/>
                <w:szCs w:val="21"/>
              </w:rPr>
            </w:pPr>
            <w:r>
              <w:rPr>
                <w:rFonts w:hint="eastAsia" w:ascii="仿宋" w:hAnsi="仿宋" w:eastAsia="仿宋" w:cs="仿宋"/>
                <w:szCs w:val="21"/>
              </w:rPr>
              <w:t>GB/T 2910.4-2009</w:t>
            </w:r>
          </w:p>
          <w:p>
            <w:pPr>
              <w:spacing w:line="380" w:lineRule="exact"/>
              <w:jc w:val="center"/>
              <w:rPr>
                <w:rFonts w:ascii="仿宋" w:hAnsi="仿宋" w:eastAsia="仿宋" w:cs="仿宋"/>
                <w:szCs w:val="21"/>
              </w:rPr>
            </w:pPr>
            <w:r>
              <w:rPr>
                <w:rFonts w:hint="eastAsia" w:ascii="仿宋" w:hAnsi="仿宋" w:eastAsia="仿宋" w:cs="仿宋"/>
                <w:szCs w:val="21"/>
              </w:rPr>
              <w:t>GB/T 2910.6-2009</w:t>
            </w:r>
          </w:p>
          <w:p>
            <w:pPr>
              <w:spacing w:line="380" w:lineRule="exact"/>
              <w:jc w:val="center"/>
              <w:rPr>
                <w:rFonts w:ascii="仿宋" w:hAnsi="仿宋" w:eastAsia="仿宋" w:cs="仿宋"/>
                <w:szCs w:val="21"/>
              </w:rPr>
            </w:pPr>
            <w:r>
              <w:rPr>
                <w:rFonts w:hint="eastAsia" w:ascii="仿宋" w:hAnsi="仿宋" w:eastAsia="仿宋" w:cs="仿宋"/>
                <w:szCs w:val="21"/>
              </w:rPr>
              <w:t>GB/T 2910.7-2009</w:t>
            </w:r>
          </w:p>
          <w:p>
            <w:pPr>
              <w:spacing w:line="380" w:lineRule="exact"/>
              <w:jc w:val="center"/>
              <w:rPr>
                <w:rFonts w:ascii="仿宋" w:hAnsi="仿宋" w:eastAsia="仿宋" w:cs="仿宋"/>
                <w:szCs w:val="21"/>
              </w:rPr>
            </w:pPr>
            <w:r>
              <w:rPr>
                <w:rFonts w:hint="eastAsia" w:ascii="仿宋" w:hAnsi="仿宋" w:eastAsia="仿宋" w:cs="仿宋"/>
                <w:szCs w:val="21"/>
              </w:rPr>
              <w:t>GB/T 2910.8-2009</w:t>
            </w:r>
          </w:p>
          <w:p>
            <w:pPr>
              <w:spacing w:line="380" w:lineRule="exact"/>
              <w:jc w:val="center"/>
              <w:rPr>
                <w:rFonts w:ascii="仿宋" w:hAnsi="仿宋" w:eastAsia="仿宋" w:cs="仿宋"/>
                <w:szCs w:val="21"/>
              </w:rPr>
            </w:pPr>
            <w:r>
              <w:rPr>
                <w:rFonts w:hint="eastAsia" w:ascii="仿宋" w:hAnsi="仿宋" w:eastAsia="仿宋" w:cs="仿宋"/>
                <w:szCs w:val="21"/>
              </w:rPr>
              <w:t>GB/T 2910.11-2009</w:t>
            </w:r>
          </w:p>
          <w:p>
            <w:pPr>
              <w:spacing w:line="380" w:lineRule="exact"/>
              <w:jc w:val="center"/>
              <w:rPr>
                <w:rFonts w:ascii="仿宋" w:hAnsi="仿宋" w:eastAsia="仿宋" w:cs="仿宋"/>
                <w:szCs w:val="21"/>
              </w:rPr>
            </w:pPr>
            <w:r>
              <w:rPr>
                <w:rFonts w:hint="eastAsia" w:ascii="仿宋" w:hAnsi="仿宋" w:eastAsia="仿宋" w:cs="仿宋"/>
                <w:szCs w:val="21"/>
              </w:rPr>
              <w:t>GB/T 2910.12-2009</w:t>
            </w:r>
          </w:p>
          <w:p>
            <w:pPr>
              <w:spacing w:line="380" w:lineRule="exact"/>
              <w:jc w:val="center"/>
              <w:rPr>
                <w:rFonts w:ascii="仿宋" w:hAnsi="仿宋" w:eastAsia="仿宋" w:cs="仿宋"/>
                <w:szCs w:val="21"/>
              </w:rPr>
            </w:pPr>
            <w:r>
              <w:rPr>
                <w:rFonts w:hint="eastAsia" w:ascii="仿宋" w:hAnsi="仿宋" w:eastAsia="仿宋" w:cs="仿宋"/>
                <w:szCs w:val="21"/>
              </w:rPr>
              <w:t>GB/T 2910.20-2009</w:t>
            </w:r>
          </w:p>
          <w:p>
            <w:pPr>
              <w:spacing w:line="380" w:lineRule="exact"/>
              <w:jc w:val="center"/>
              <w:rPr>
                <w:rFonts w:ascii="仿宋" w:hAnsi="仿宋" w:eastAsia="仿宋" w:cs="仿宋"/>
                <w:szCs w:val="21"/>
              </w:rPr>
            </w:pPr>
            <w:r>
              <w:rPr>
                <w:rFonts w:hint="eastAsia" w:ascii="仿宋" w:hAnsi="仿宋" w:eastAsia="仿宋" w:cs="仿宋"/>
                <w:szCs w:val="21"/>
              </w:rPr>
              <w:t>FZ/T 01101-2008</w:t>
            </w:r>
          </w:p>
          <w:p>
            <w:pPr>
              <w:adjustRightInd w:val="0"/>
              <w:snapToGrid w:val="0"/>
              <w:jc w:val="center"/>
              <w:rPr>
                <w:rFonts w:ascii="宋体" w:hAnsi="宋体"/>
                <w:szCs w:val="21"/>
              </w:rPr>
            </w:pPr>
            <w:r>
              <w:rPr>
                <w:rFonts w:hint="eastAsia" w:ascii="仿宋" w:hAnsi="仿宋" w:eastAsia="仿宋" w:cs="仿宋"/>
                <w:szCs w:val="21"/>
              </w:rPr>
              <w:t>FZ/T 01026-2017</w:t>
            </w:r>
          </w:p>
        </w:tc>
      </w:tr>
    </w:tbl>
    <w:p>
      <w:pPr>
        <w:adjustRightInd w:val="0"/>
        <w:snapToGrid w:val="0"/>
        <w:spacing w:line="360" w:lineRule="auto"/>
        <w:ind w:firstLine="420" w:firstLineChars="200"/>
        <w:rPr>
          <w:color w:val="FF0000"/>
          <w:szCs w:val="21"/>
        </w:rPr>
      </w:pPr>
    </w:p>
    <w:p>
      <w:pPr>
        <w:adjustRightInd w:val="0"/>
        <w:snapToGrid w:val="0"/>
        <w:spacing w:line="360" w:lineRule="auto"/>
        <w:ind w:firstLine="420" w:firstLineChars="200"/>
        <w:rPr>
          <w:szCs w:val="21"/>
        </w:rPr>
      </w:pPr>
      <w:r>
        <w:rPr>
          <w:rFonts w:hint="eastAsia"/>
          <w:szCs w:val="21"/>
        </w:rPr>
        <w:t>执行企业标准、团体标准、地方标准的产品，检验项目参照上述内容执行。</w:t>
      </w:r>
    </w:p>
    <w:p>
      <w:pPr>
        <w:adjustRightInd w:val="0"/>
        <w:snapToGrid w:val="0"/>
        <w:spacing w:line="360" w:lineRule="auto"/>
        <w:ind w:firstLine="420" w:firstLineChars="200"/>
        <w:rPr>
          <w:rFonts w:ascii="宋体" w:hAnsi="宋体"/>
          <w:szCs w:val="21"/>
          <w:lang w:val="de-DE"/>
        </w:rPr>
      </w:pPr>
      <w:r>
        <w:rPr>
          <w:szCs w:val="21"/>
        </w:rPr>
        <w:t>凡是注日期的文件，其随后所有的修改单（不包括勘误的内容）或修订版不适用于本细则。凡</w:t>
      </w:r>
      <w:r>
        <w:rPr>
          <w:rFonts w:ascii="宋体" w:hAnsi="宋体"/>
          <w:szCs w:val="21"/>
          <w:lang w:val="de-DE"/>
        </w:rPr>
        <w:t>是不注日期的文件，其最新版本适用于本细则。</w:t>
      </w:r>
    </w:p>
    <w:p>
      <w:pPr>
        <w:spacing w:line="360" w:lineRule="auto"/>
        <w:rPr>
          <w:rFonts w:eastAsia="黑体"/>
          <w:color w:val="000000"/>
          <w:szCs w:val="21"/>
        </w:rPr>
      </w:pPr>
      <w:r>
        <w:rPr>
          <w:rFonts w:eastAsia="黑体"/>
          <w:color w:val="000000"/>
          <w:szCs w:val="21"/>
        </w:rPr>
        <w:t>3 判定规则</w:t>
      </w:r>
    </w:p>
    <w:p>
      <w:pPr>
        <w:snapToGrid w:val="0"/>
        <w:spacing w:line="360" w:lineRule="auto"/>
        <w:rPr>
          <w:color w:val="000000"/>
          <w:szCs w:val="21"/>
        </w:rPr>
      </w:pPr>
      <w:r>
        <w:rPr>
          <w:color w:val="000000"/>
          <w:szCs w:val="21"/>
        </w:rPr>
        <w:t>3.1依据标准</w:t>
      </w:r>
    </w:p>
    <w:p>
      <w:pPr>
        <w:snapToGrid w:val="0"/>
        <w:spacing w:line="360" w:lineRule="auto"/>
        <w:ind w:firstLine="359" w:firstLineChars="171"/>
        <w:rPr>
          <w:rFonts w:ascii="宋体" w:hAnsi="宋体"/>
          <w:szCs w:val="21"/>
        </w:rPr>
      </w:pPr>
      <w:r>
        <w:rPr>
          <w:rFonts w:hint="eastAsia" w:ascii="宋体" w:hAnsi="宋体"/>
          <w:szCs w:val="21"/>
        </w:rPr>
        <w:t>GB 18401-</w:t>
      </w:r>
      <w:r>
        <w:rPr>
          <w:rFonts w:ascii="宋体" w:hAnsi="宋体"/>
          <w:szCs w:val="21"/>
        </w:rPr>
        <w:t>2010</w:t>
      </w:r>
      <w:r>
        <w:rPr>
          <w:rFonts w:hint="eastAsia" w:ascii="宋体" w:hAnsi="宋体"/>
          <w:szCs w:val="21"/>
        </w:rPr>
        <w:t>国家纺织产品基本安全技术规范</w:t>
      </w:r>
    </w:p>
    <w:p>
      <w:pPr>
        <w:snapToGrid w:val="0"/>
        <w:spacing w:line="360" w:lineRule="auto"/>
        <w:ind w:firstLine="359" w:firstLineChars="171"/>
        <w:rPr>
          <w:rFonts w:ascii="宋体" w:hAnsi="宋体"/>
          <w:szCs w:val="21"/>
        </w:rPr>
      </w:pPr>
      <w:r>
        <w:rPr>
          <w:rFonts w:hint="eastAsia" w:ascii="宋体" w:hAnsi="宋体"/>
          <w:szCs w:val="21"/>
        </w:rPr>
        <w:t>GB 31701-</w:t>
      </w:r>
      <w:r>
        <w:rPr>
          <w:rFonts w:ascii="宋体" w:hAnsi="宋体"/>
          <w:szCs w:val="21"/>
        </w:rPr>
        <w:t>2015</w:t>
      </w:r>
      <w:r>
        <w:rPr>
          <w:rFonts w:hint="eastAsia" w:ascii="宋体" w:hAnsi="宋体"/>
          <w:szCs w:val="21"/>
        </w:rPr>
        <w:t xml:space="preserve">  婴幼儿及儿童纺织产品安全技术规范</w:t>
      </w:r>
    </w:p>
    <w:p>
      <w:pPr>
        <w:snapToGrid w:val="0"/>
        <w:spacing w:line="360" w:lineRule="auto"/>
        <w:ind w:firstLine="359" w:firstLineChars="171"/>
        <w:rPr>
          <w:rFonts w:ascii="宋体" w:hAnsi="宋体"/>
          <w:szCs w:val="21"/>
        </w:rPr>
      </w:pPr>
      <w:r>
        <w:rPr>
          <w:rFonts w:hint="eastAsia" w:ascii="宋体" w:hAnsi="宋体"/>
          <w:szCs w:val="21"/>
        </w:rPr>
        <w:t>FZ/T 73013-</w:t>
      </w:r>
      <w:r>
        <w:rPr>
          <w:rFonts w:ascii="宋体" w:hAnsi="宋体"/>
          <w:szCs w:val="21"/>
        </w:rPr>
        <w:t>2017</w:t>
      </w:r>
      <w:r>
        <w:rPr>
          <w:rFonts w:hint="eastAsia" w:ascii="宋体" w:hAnsi="宋体"/>
          <w:szCs w:val="21"/>
        </w:rPr>
        <w:t xml:space="preserve">  针织泳装</w:t>
      </w:r>
    </w:p>
    <w:p>
      <w:pPr>
        <w:snapToGrid w:val="0"/>
        <w:spacing w:line="360" w:lineRule="auto"/>
        <w:ind w:firstLine="359" w:firstLineChars="171"/>
        <w:rPr>
          <w:rFonts w:ascii="宋体" w:hAnsi="宋体"/>
          <w:szCs w:val="21"/>
        </w:rPr>
      </w:pPr>
      <w:r>
        <w:rPr>
          <w:rFonts w:hint="eastAsia" w:ascii="宋体" w:hAnsi="宋体"/>
          <w:szCs w:val="21"/>
        </w:rPr>
        <w:t>FZ/T 73050-</w:t>
      </w:r>
      <w:r>
        <w:rPr>
          <w:rFonts w:ascii="宋体" w:hAnsi="宋体"/>
          <w:szCs w:val="21"/>
        </w:rPr>
        <w:t>2014</w:t>
      </w:r>
      <w:r>
        <w:rPr>
          <w:rFonts w:hint="eastAsia" w:ascii="宋体" w:hAnsi="宋体"/>
          <w:szCs w:val="21"/>
        </w:rPr>
        <w:t xml:space="preserve">  针织泳帽</w:t>
      </w:r>
    </w:p>
    <w:p>
      <w:pPr>
        <w:snapToGrid w:val="0"/>
        <w:spacing w:line="360" w:lineRule="auto"/>
        <w:ind w:firstLine="359" w:firstLineChars="171"/>
        <w:rPr>
          <w:rFonts w:ascii="宋体" w:hAnsi="宋体"/>
          <w:szCs w:val="21"/>
        </w:rPr>
      </w:pPr>
      <w:r>
        <w:rPr>
          <w:rFonts w:hint="eastAsia" w:ascii="宋体" w:hAnsi="宋体"/>
          <w:szCs w:val="21"/>
        </w:rPr>
        <w:t>FZ/T 81021-</w:t>
      </w:r>
      <w:r>
        <w:rPr>
          <w:rFonts w:ascii="宋体" w:hAnsi="宋体"/>
          <w:szCs w:val="21"/>
        </w:rPr>
        <w:t>2014</w:t>
      </w:r>
      <w:r>
        <w:rPr>
          <w:rFonts w:hint="eastAsia" w:ascii="宋体" w:hAnsi="宋体"/>
          <w:szCs w:val="21"/>
        </w:rPr>
        <w:t xml:space="preserve">  机织泳装</w:t>
      </w:r>
    </w:p>
    <w:p>
      <w:pPr>
        <w:snapToGrid w:val="0"/>
        <w:spacing w:line="360" w:lineRule="auto"/>
        <w:ind w:firstLine="359" w:firstLineChars="171"/>
        <w:rPr>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bookmarkStart w:id="0" w:name="_GoBack"/>
      <w:bookmarkEnd w:id="0"/>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altName w:val="Arial Unicode MS"/>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t>2</w:t>
    </w:r>
    <w:r>
      <w:rPr>
        <w:lang w:val="zh-CN"/>
      </w:rPr>
      <w:fldChar w:fldCharType="end"/>
    </w:r>
    <w:r>
      <w:rPr>
        <w:rFonts w:hint="eastAsia"/>
        <w:lang w:val="zh-CN"/>
      </w:rPr>
      <w:t xml:space="preserve">页 </w:t>
    </w:r>
    <w:r>
      <w:rPr>
        <w:lang w:val="zh-CN"/>
      </w:rPr>
      <w:t xml:space="preserve"> </w:t>
    </w:r>
    <w:r>
      <w:rPr>
        <w:rFonts w:hint="eastAsia"/>
        <w:lang w:val="zh-CN"/>
      </w:rPr>
      <w:t>共</w:t>
    </w:r>
    <w:r>
      <w:rPr>
        <w:lang w:val="zh-CN"/>
      </w:rPr>
      <w:t>2</w:t>
    </w:r>
    <w:r>
      <w:rPr>
        <w:rFonts w:hint="eastAsia"/>
        <w:lang w:val="zh-CN"/>
      </w:rPr>
      <w:t>页</w:t>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jc w:val="right"/>
    </w:pPr>
    <w:r>
      <w:rPr>
        <w:rFonts w:hint="eastAsia" w:ascii="宋体" w:hAnsi="宋体" w:cs="宋体"/>
        <w:sz w:val="28"/>
        <w:szCs w:val="28"/>
      </w:rPr>
      <w:t xml:space="preserve">编号：FJCCXZ </w:t>
    </w:r>
    <w:r>
      <w:rPr>
        <w:rFonts w:ascii="宋体" w:hAnsi="宋体" w:cs="宋体"/>
        <w:sz w:val="28"/>
        <w:szCs w:val="28"/>
      </w:rPr>
      <w:t>142</w:t>
    </w:r>
    <w:r>
      <w:rPr>
        <w:rFonts w:hint="eastAsia" w:ascii="宋体" w:hAnsi="宋体" w:cs="宋体"/>
        <w:sz w:val="28"/>
        <w:szCs w:val="28"/>
      </w:rPr>
      <w:t>-2020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9464D"/>
    <w:rsid w:val="00005E1D"/>
    <w:rsid w:val="0000712C"/>
    <w:rsid w:val="00032176"/>
    <w:rsid w:val="0004568E"/>
    <w:rsid w:val="000620E0"/>
    <w:rsid w:val="00067918"/>
    <w:rsid w:val="000A0623"/>
    <w:rsid w:val="000A1D7C"/>
    <w:rsid w:val="000B20D8"/>
    <w:rsid w:val="000D3556"/>
    <w:rsid w:val="0011240A"/>
    <w:rsid w:val="00114247"/>
    <w:rsid w:val="00125E89"/>
    <w:rsid w:val="001372C4"/>
    <w:rsid w:val="001643B1"/>
    <w:rsid w:val="001849D1"/>
    <w:rsid w:val="001F65A4"/>
    <w:rsid w:val="00212A2B"/>
    <w:rsid w:val="002237A5"/>
    <w:rsid w:val="00274940"/>
    <w:rsid w:val="00291BA1"/>
    <w:rsid w:val="002B7425"/>
    <w:rsid w:val="002F13F7"/>
    <w:rsid w:val="003044F0"/>
    <w:rsid w:val="00397C3E"/>
    <w:rsid w:val="00426DCD"/>
    <w:rsid w:val="00452E33"/>
    <w:rsid w:val="00456F8D"/>
    <w:rsid w:val="00460E26"/>
    <w:rsid w:val="00461C4A"/>
    <w:rsid w:val="004847C9"/>
    <w:rsid w:val="004E3D0D"/>
    <w:rsid w:val="004F3263"/>
    <w:rsid w:val="00521C78"/>
    <w:rsid w:val="00536E9B"/>
    <w:rsid w:val="005A7F64"/>
    <w:rsid w:val="0062373E"/>
    <w:rsid w:val="00684DE4"/>
    <w:rsid w:val="006A5FFB"/>
    <w:rsid w:val="006C79D2"/>
    <w:rsid w:val="006E155C"/>
    <w:rsid w:val="0072501A"/>
    <w:rsid w:val="007450AC"/>
    <w:rsid w:val="00793062"/>
    <w:rsid w:val="007F099F"/>
    <w:rsid w:val="0080365B"/>
    <w:rsid w:val="00870D40"/>
    <w:rsid w:val="009522E4"/>
    <w:rsid w:val="009559D6"/>
    <w:rsid w:val="009F7F51"/>
    <w:rsid w:val="00A54D00"/>
    <w:rsid w:val="00A76ABC"/>
    <w:rsid w:val="00AB18EB"/>
    <w:rsid w:val="00AF668D"/>
    <w:rsid w:val="00B0246C"/>
    <w:rsid w:val="00B16417"/>
    <w:rsid w:val="00B21D14"/>
    <w:rsid w:val="00BC16FA"/>
    <w:rsid w:val="00BD6545"/>
    <w:rsid w:val="00BE78CC"/>
    <w:rsid w:val="00C42922"/>
    <w:rsid w:val="00C771F6"/>
    <w:rsid w:val="00CD1057"/>
    <w:rsid w:val="00D0131C"/>
    <w:rsid w:val="00D17603"/>
    <w:rsid w:val="00D61A66"/>
    <w:rsid w:val="00D86A10"/>
    <w:rsid w:val="00DC2443"/>
    <w:rsid w:val="00DE12E8"/>
    <w:rsid w:val="00DE5863"/>
    <w:rsid w:val="00E03B05"/>
    <w:rsid w:val="00E1196C"/>
    <w:rsid w:val="00E14212"/>
    <w:rsid w:val="00F438A0"/>
    <w:rsid w:val="00F74D76"/>
    <w:rsid w:val="00F9464D"/>
    <w:rsid w:val="00FB3F37"/>
    <w:rsid w:val="00FD6D9D"/>
    <w:rsid w:val="00FF6E9E"/>
    <w:rsid w:val="642846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Plain Text"/>
    <w:basedOn w:val="1"/>
    <w:link w:val="14"/>
    <w:unhideWhenUsed/>
    <w:qFormat/>
    <w:uiPriority w:val="99"/>
    <w:rPr>
      <w:rFonts w:ascii="宋体" w:hAnsi="Courier New"/>
      <w:kern w:val="0"/>
      <w:sz w:val="20"/>
      <w:szCs w:val="20"/>
    </w:rPr>
  </w:style>
  <w:style w:type="paragraph" w:styleId="4">
    <w:name w:val="Balloon Text"/>
    <w:basedOn w:val="1"/>
    <w:link w:val="17"/>
    <w:semiHidden/>
    <w:unhideWhenUsed/>
    <w:qFormat/>
    <w:uiPriority w:val="99"/>
    <w:rPr>
      <w:sz w:val="18"/>
      <w:szCs w:val="18"/>
    </w:rPr>
  </w:style>
  <w:style w:type="paragraph" w:styleId="5">
    <w:name w:val="footer"/>
    <w:basedOn w:val="1"/>
    <w:link w:val="13"/>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annotation subject"/>
    <w:basedOn w:val="2"/>
    <w:next w:val="2"/>
    <w:link w:val="16"/>
    <w:semiHidden/>
    <w:unhideWhenUsed/>
    <w:qFormat/>
    <w:uiPriority w:val="99"/>
    <w:rPr>
      <w:b/>
      <w:bCs/>
    </w:rPr>
  </w:style>
  <w:style w:type="character" w:styleId="10">
    <w:name w:val="page number"/>
    <w:basedOn w:val="9"/>
    <w:uiPriority w:val="0"/>
  </w:style>
  <w:style w:type="character" w:styleId="11">
    <w:name w:val="annotation reference"/>
    <w:basedOn w:val="9"/>
    <w:semiHidden/>
    <w:unhideWhenUsed/>
    <w:uiPriority w:val="99"/>
    <w:rPr>
      <w:sz w:val="21"/>
      <w:szCs w:val="21"/>
    </w:rPr>
  </w:style>
  <w:style w:type="character" w:customStyle="1" w:styleId="12">
    <w:name w:val="页眉 Char"/>
    <w:basedOn w:val="9"/>
    <w:link w:val="6"/>
    <w:uiPriority w:val="99"/>
    <w:rPr>
      <w:sz w:val="18"/>
      <w:szCs w:val="18"/>
    </w:rPr>
  </w:style>
  <w:style w:type="character" w:customStyle="1" w:styleId="13">
    <w:name w:val="页脚 Char"/>
    <w:basedOn w:val="9"/>
    <w:link w:val="5"/>
    <w:uiPriority w:val="99"/>
    <w:rPr>
      <w:sz w:val="18"/>
      <w:szCs w:val="18"/>
    </w:rPr>
  </w:style>
  <w:style w:type="character" w:customStyle="1" w:styleId="14">
    <w:name w:val="纯文本 Char"/>
    <w:basedOn w:val="9"/>
    <w:link w:val="3"/>
    <w:qFormat/>
    <w:uiPriority w:val="99"/>
    <w:rPr>
      <w:rFonts w:ascii="宋体" w:hAnsi="Courier New" w:eastAsia="宋体" w:cs="Times New Roman"/>
      <w:kern w:val="0"/>
      <w:sz w:val="20"/>
      <w:szCs w:val="20"/>
    </w:rPr>
  </w:style>
  <w:style w:type="character" w:customStyle="1" w:styleId="15">
    <w:name w:val="批注文字 Char"/>
    <w:basedOn w:val="9"/>
    <w:link w:val="2"/>
    <w:semiHidden/>
    <w:uiPriority w:val="99"/>
    <w:rPr>
      <w:rFonts w:ascii="Times New Roman" w:hAnsi="Times New Roman" w:eastAsia="宋体" w:cs="Times New Roman"/>
      <w:szCs w:val="24"/>
    </w:rPr>
  </w:style>
  <w:style w:type="character" w:customStyle="1" w:styleId="16">
    <w:name w:val="批注主题 Char"/>
    <w:basedOn w:val="15"/>
    <w:link w:val="7"/>
    <w:semiHidden/>
    <w:qFormat/>
    <w:uiPriority w:val="99"/>
    <w:rPr>
      <w:rFonts w:ascii="Times New Roman" w:hAnsi="Times New Roman" w:eastAsia="宋体" w:cs="Times New Roman"/>
      <w:b/>
      <w:bCs/>
      <w:szCs w:val="24"/>
    </w:rPr>
  </w:style>
  <w:style w:type="character" w:customStyle="1" w:styleId="17">
    <w:name w:val="批注框文本 Char"/>
    <w:basedOn w:val="9"/>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202</Words>
  <Characters>1153</Characters>
  <Lines>9</Lines>
  <Paragraphs>2</Paragraphs>
  <TotalTime>86</TotalTime>
  <ScaleCrop>false</ScaleCrop>
  <LinksUpToDate>false</LinksUpToDate>
  <CharactersWithSpaces>1353</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2020-04-22T07:30:00Z</dcterms:created>
  <dc:creator>JDK1</dc:creator>
  <cp:lastModifiedBy>kyb</cp:lastModifiedBy>
  <cp:lastPrinted>2020-05-21T01:00:00Z</cp:lastPrinted>
  <dcterms:modified xsi:type="dcterms:W3CDTF">2020-06-03T01:25:49Z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