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_GB2312" w:eastAsia="宋体"/>
          <w:sz w:val="32"/>
          <w:szCs w:val="32"/>
          <w:lang w:val="en-US" w:eastAsia="zh-CN"/>
        </w:rPr>
      </w:pPr>
      <w:r>
        <w:rPr>
          <w:rFonts w:hint="eastAsia" w:ascii="仿宋_GB2312" w:hAnsi="Calibri" w:eastAsia="仿宋_GB2312" w:cs="Times New Roman"/>
          <w:sz w:val="32"/>
          <w:szCs w:val="32"/>
        </w:rPr>
        <w:t>附</w:t>
      </w:r>
      <w:r>
        <w:rPr>
          <w:rFonts w:hint="eastAsia" w:ascii="宋体" w:hAnsi="宋体" w:cs="宋体"/>
          <w:sz w:val="32"/>
          <w:szCs w:val="32"/>
        </w:rPr>
        <w:t>件</w:t>
      </w:r>
      <w:r>
        <w:rPr>
          <w:rFonts w:hint="eastAsia" w:ascii="宋体" w:hAnsi="宋体" w:cs="宋体"/>
          <w:sz w:val="32"/>
          <w:szCs w:val="32"/>
          <w:lang w:val="en-US" w:eastAsia="zh-CN"/>
        </w:rPr>
        <w:t>1</w:t>
      </w:r>
    </w:p>
    <w:p>
      <w:pPr>
        <w:spacing w:line="240" w:lineRule="auto"/>
        <w:jc w:val="center"/>
        <w:rPr>
          <w:rFonts w:ascii="方正小标宋简体" w:hAnsi="方正小标宋简体" w:eastAsia="方正小标宋简体" w:cs="方正小标宋简体"/>
          <w:color w:val="333333"/>
          <w:kern w:val="0"/>
          <w:sz w:val="36"/>
          <w:szCs w:val="36"/>
          <w:shd w:val="clear" w:color="auto" w:fill="FFFFFF"/>
          <w:lang w:bidi="ar"/>
        </w:rPr>
      </w:pPr>
      <w:r>
        <w:rPr>
          <w:rFonts w:hint="eastAsia" w:ascii="方正小标宋简体" w:hAnsi="方正小标宋简体" w:eastAsia="方正小标宋简体" w:cs="方正小标宋简体"/>
          <w:color w:val="333333"/>
          <w:kern w:val="0"/>
          <w:sz w:val="36"/>
          <w:szCs w:val="36"/>
          <w:shd w:val="clear" w:color="auto" w:fill="FFFFFF"/>
          <w:lang w:bidi="ar"/>
        </w:rPr>
        <w:t>福建省市场监督管理局信信息系统</w:t>
      </w:r>
    </w:p>
    <w:p>
      <w:pPr>
        <w:spacing w:line="240" w:lineRule="auto"/>
        <w:jc w:val="center"/>
        <w:rPr>
          <w:rFonts w:hAnsi="宋体"/>
          <w:b/>
          <w:szCs w:val="24"/>
        </w:rPr>
      </w:pPr>
      <w:r>
        <w:rPr>
          <w:rFonts w:hint="eastAsia" w:ascii="方正小标宋简体" w:hAnsi="方正小标宋简体" w:eastAsia="方正小标宋简体" w:cs="方正小标宋简体"/>
          <w:color w:val="333333"/>
          <w:kern w:val="0"/>
          <w:sz w:val="36"/>
          <w:szCs w:val="36"/>
          <w:shd w:val="clear" w:color="auto" w:fill="FFFFFF"/>
          <w:lang w:bidi="ar"/>
        </w:rPr>
        <w:t>运维等服务项目服务项目需求</w:t>
      </w:r>
    </w:p>
    <w:p>
      <w:pPr>
        <w:pStyle w:val="5"/>
        <w:snapToGrid w:val="0"/>
        <w:spacing w:line="280" w:lineRule="exact"/>
        <w:ind w:left="-120" w:leftChars="-50" w:right="-120" w:rightChars="-50"/>
        <w:jc w:val="center"/>
        <w:rPr>
          <w:rFonts w:hAnsi="宋体"/>
          <w:b/>
          <w:szCs w:val="24"/>
        </w:rPr>
      </w:pPr>
    </w:p>
    <w:p>
      <w:pPr>
        <w:outlineLvl w:val="0"/>
        <w:rPr>
          <w:rFonts w:ascii="宋体" w:hAnsi="宋体"/>
          <w:b/>
          <w:color w:val="000000"/>
          <w:sz w:val="30"/>
          <w:szCs w:val="30"/>
        </w:rPr>
      </w:pPr>
      <w:r>
        <w:rPr>
          <w:rFonts w:hint="eastAsia" w:ascii="宋体" w:hAnsi="宋体"/>
          <w:b/>
          <w:color w:val="000000"/>
          <w:sz w:val="30"/>
          <w:szCs w:val="30"/>
        </w:rPr>
        <w:t>一、货物服务一览表</w:t>
      </w:r>
    </w:p>
    <w:p>
      <w:pPr>
        <w:pStyle w:val="5"/>
        <w:snapToGrid w:val="0"/>
        <w:spacing w:line="280" w:lineRule="exact"/>
        <w:ind w:left="-120" w:leftChars="-50" w:right="-120" w:rightChars="-50"/>
        <w:jc w:val="right"/>
        <w:rPr>
          <w:rFonts w:hAnsi="宋体"/>
          <w:b/>
          <w:szCs w:val="24"/>
        </w:rPr>
      </w:pPr>
      <w:r>
        <w:rPr>
          <w:rFonts w:hint="eastAsia" w:hAnsi="宋体"/>
          <w:b/>
          <w:color w:val="000000"/>
          <w:szCs w:val="24"/>
        </w:rPr>
        <w:t>单位：元/人民币</w:t>
      </w:r>
    </w:p>
    <w:tbl>
      <w:tblPr>
        <w:tblStyle w:val="13"/>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838"/>
        <w:gridCol w:w="2513"/>
        <w:gridCol w:w="968"/>
        <w:gridCol w:w="1926"/>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blHeader/>
          <w:jc w:val="center"/>
        </w:trPr>
        <w:tc>
          <w:tcPr>
            <w:tcW w:w="811" w:type="dxa"/>
            <w:shd w:val="clear" w:color="auto" w:fill="CCCCCC"/>
            <w:vAlign w:val="center"/>
          </w:tcPr>
          <w:p>
            <w:pPr>
              <w:pStyle w:val="5"/>
              <w:snapToGrid w:val="0"/>
              <w:spacing w:line="280" w:lineRule="exact"/>
              <w:ind w:left="-120" w:leftChars="-50" w:right="-120" w:rightChars="-50"/>
              <w:jc w:val="center"/>
              <w:rPr>
                <w:rFonts w:hAnsi="宋体"/>
                <w:b/>
                <w:szCs w:val="24"/>
              </w:rPr>
            </w:pPr>
            <w:r>
              <w:rPr>
                <w:rFonts w:hint="eastAsia" w:hAnsi="宋体"/>
                <w:b/>
                <w:szCs w:val="24"/>
              </w:rPr>
              <w:t>合同</w:t>
            </w:r>
          </w:p>
          <w:p>
            <w:pPr>
              <w:pStyle w:val="5"/>
              <w:snapToGrid w:val="0"/>
              <w:spacing w:line="280" w:lineRule="exact"/>
              <w:ind w:left="-120" w:leftChars="-50" w:right="-120" w:rightChars="-50"/>
              <w:jc w:val="center"/>
              <w:rPr>
                <w:rFonts w:hAnsi="宋体"/>
                <w:b/>
                <w:szCs w:val="24"/>
              </w:rPr>
            </w:pPr>
            <w:r>
              <w:rPr>
                <w:rFonts w:hint="eastAsia" w:hAnsi="宋体"/>
                <w:b/>
                <w:szCs w:val="24"/>
              </w:rPr>
              <w:t xml:space="preserve"> 包</w:t>
            </w:r>
          </w:p>
        </w:tc>
        <w:tc>
          <w:tcPr>
            <w:tcW w:w="838" w:type="dxa"/>
            <w:shd w:val="clear" w:color="auto" w:fill="CCCCCC"/>
            <w:vAlign w:val="center"/>
          </w:tcPr>
          <w:p>
            <w:pPr>
              <w:pStyle w:val="5"/>
              <w:snapToGrid w:val="0"/>
              <w:spacing w:line="280" w:lineRule="exact"/>
              <w:ind w:left="-120" w:leftChars="-50" w:right="-120" w:rightChars="-50"/>
              <w:jc w:val="center"/>
              <w:rPr>
                <w:rFonts w:hAnsi="宋体"/>
                <w:b/>
                <w:szCs w:val="24"/>
              </w:rPr>
            </w:pPr>
            <w:r>
              <w:rPr>
                <w:rFonts w:hint="eastAsia" w:hAnsi="宋体"/>
                <w:b/>
                <w:szCs w:val="24"/>
              </w:rPr>
              <w:t>序号</w:t>
            </w:r>
          </w:p>
        </w:tc>
        <w:tc>
          <w:tcPr>
            <w:tcW w:w="2513" w:type="dxa"/>
            <w:shd w:val="clear" w:color="auto" w:fill="CCCCCC"/>
            <w:vAlign w:val="center"/>
          </w:tcPr>
          <w:p>
            <w:pPr>
              <w:pStyle w:val="5"/>
              <w:snapToGrid w:val="0"/>
              <w:spacing w:line="280" w:lineRule="exact"/>
              <w:jc w:val="center"/>
              <w:rPr>
                <w:rFonts w:hAnsi="宋体"/>
                <w:b/>
                <w:szCs w:val="24"/>
              </w:rPr>
            </w:pPr>
            <w:r>
              <w:rPr>
                <w:rFonts w:hint="eastAsia" w:hAnsi="宋体"/>
                <w:b/>
                <w:szCs w:val="24"/>
              </w:rPr>
              <w:t>品目名称</w:t>
            </w:r>
          </w:p>
        </w:tc>
        <w:tc>
          <w:tcPr>
            <w:tcW w:w="968" w:type="dxa"/>
            <w:shd w:val="clear" w:color="auto" w:fill="CCCCCC"/>
            <w:vAlign w:val="center"/>
          </w:tcPr>
          <w:p>
            <w:pPr>
              <w:pStyle w:val="5"/>
              <w:snapToGrid w:val="0"/>
              <w:spacing w:line="280" w:lineRule="exact"/>
              <w:ind w:left="-120" w:leftChars="-50" w:right="-120" w:rightChars="-50"/>
              <w:jc w:val="center"/>
              <w:rPr>
                <w:rFonts w:hAnsi="宋体"/>
                <w:b/>
                <w:szCs w:val="24"/>
              </w:rPr>
            </w:pPr>
            <w:r>
              <w:rPr>
                <w:rFonts w:hint="eastAsia" w:hAnsi="宋体"/>
                <w:b/>
                <w:szCs w:val="24"/>
              </w:rPr>
              <w:t>数量</w:t>
            </w:r>
          </w:p>
        </w:tc>
        <w:tc>
          <w:tcPr>
            <w:tcW w:w="1926" w:type="dxa"/>
            <w:shd w:val="clear" w:color="auto" w:fill="CCCCCC"/>
            <w:vAlign w:val="center"/>
          </w:tcPr>
          <w:p>
            <w:pPr>
              <w:widowControl/>
              <w:spacing w:line="280" w:lineRule="exact"/>
              <w:jc w:val="center"/>
              <w:rPr>
                <w:rFonts w:ascii="宋体" w:hAnsi="宋体"/>
                <w:b/>
              </w:rPr>
            </w:pPr>
            <w:r>
              <w:rPr>
                <w:rFonts w:hint="eastAsia" w:ascii="宋体" w:hAnsi="宋体"/>
                <w:b/>
              </w:rPr>
              <w:t>最高限价(元)</w:t>
            </w:r>
          </w:p>
        </w:tc>
        <w:tc>
          <w:tcPr>
            <w:tcW w:w="1887" w:type="dxa"/>
            <w:shd w:val="clear" w:color="auto" w:fill="CCCCCC"/>
            <w:vAlign w:val="center"/>
          </w:tcPr>
          <w:p>
            <w:pPr>
              <w:pStyle w:val="5"/>
              <w:snapToGrid w:val="0"/>
              <w:spacing w:line="280" w:lineRule="exact"/>
              <w:ind w:left="-60" w:leftChars="-25" w:right="-60" w:rightChars="-25"/>
              <w:jc w:val="center"/>
              <w:rPr>
                <w:rFonts w:hAnsi="宋体"/>
                <w:b/>
                <w:szCs w:val="24"/>
              </w:rPr>
            </w:pPr>
            <w:r>
              <w:rPr>
                <w:rFonts w:hint="eastAsia" w:hAnsi="宋体"/>
                <w:b/>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jc w:val="center"/>
        </w:trPr>
        <w:tc>
          <w:tcPr>
            <w:tcW w:w="811" w:type="dxa"/>
            <w:vMerge w:val="restart"/>
            <w:vAlign w:val="center"/>
          </w:tcPr>
          <w:p>
            <w:pPr>
              <w:jc w:val="center"/>
              <w:rPr>
                <w:rFonts w:ascii="宋体" w:hAnsi="宋体"/>
              </w:rPr>
            </w:pPr>
            <w:r>
              <w:rPr>
                <w:rFonts w:hint="eastAsia" w:ascii="宋体" w:hAnsi="宋体"/>
              </w:rPr>
              <w:t>1</w:t>
            </w:r>
          </w:p>
        </w:tc>
        <w:tc>
          <w:tcPr>
            <w:tcW w:w="838" w:type="dxa"/>
            <w:vAlign w:val="center"/>
          </w:tcPr>
          <w:p>
            <w:pPr>
              <w:jc w:val="center"/>
              <w:rPr>
                <w:rFonts w:ascii="宋体" w:hAnsi="宋体"/>
              </w:rPr>
            </w:pPr>
            <w:r>
              <w:rPr>
                <w:rFonts w:hint="eastAsia" w:ascii="宋体" w:hAnsi="宋体"/>
              </w:rPr>
              <w:t>1-1</w:t>
            </w:r>
          </w:p>
        </w:tc>
        <w:tc>
          <w:tcPr>
            <w:tcW w:w="2513" w:type="dxa"/>
            <w:vAlign w:val="center"/>
          </w:tcPr>
          <w:p>
            <w:pPr>
              <w:textAlignment w:val="center"/>
              <w:rPr>
                <w:rFonts w:ascii="宋体" w:hAnsi="宋体"/>
              </w:rPr>
            </w:pPr>
            <w:r>
              <w:rPr>
                <w:rFonts w:hint="eastAsia" w:ascii="宋体" w:hAnsi="宋体"/>
              </w:rPr>
              <w:t>信息系统运维服务</w:t>
            </w:r>
          </w:p>
        </w:tc>
        <w:tc>
          <w:tcPr>
            <w:tcW w:w="968" w:type="dxa"/>
            <w:vAlign w:val="center"/>
          </w:tcPr>
          <w:p>
            <w:pPr>
              <w:jc w:val="center"/>
              <w:rPr>
                <w:rFonts w:ascii="宋体" w:hAnsi="宋体"/>
              </w:rPr>
            </w:pPr>
            <w:r>
              <w:rPr>
                <w:rFonts w:hint="eastAsia" w:ascii="宋体" w:hAnsi="宋体"/>
              </w:rPr>
              <w:t>1项</w:t>
            </w:r>
          </w:p>
        </w:tc>
        <w:tc>
          <w:tcPr>
            <w:tcW w:w="1926" w:type="dxa"/>
            <w:vAlign w:val="center"/>
          </w:tcPr>
          <w:p>
            <w:pPr>
              <w:spacing w:line="276" w:lineRule="auto"/>
              <w:jc w:val="center"/>
              <w:rPr>
                <w:rFonts w:ascii="宋体" w:hAnsi="宋体"/>
              </w:rPr>
            </w:pPr>
            <w:r>
              <w:rPr>
                <w:rFonts w:hint="eastAsia" w:ascii="宋体" w:hAnsi="宋体"/>
                <w:color w:val="000000"/>
                <w:szCs w:val="24"/>
              </w:rPr>
              <w:t>260000.00</w:t>
            </w:r>
          </w:p>
        </w:tc>
        <w:tc>
          <w:tcPr>
            <w:tcW w:w="1887" w:type="dxa"/>
            <w:vMerge w:val="restart"/>
            <w:vAlign w:val="center"/>
          </w:tcPr>
          <w:p>
            <w:pPr>
              <w:jc w:val="center"/>
              <w:rPr>
                <w:rFonts w:ascii="宋体" w:hAnsi="宋体"/>
              </w:rPr>
            </w:pPr>
            <w:r>
              <w:rPr>
                <w:rFonts w:hint="eastAsia" w:ascii="宋体" w:hAnsi="宋体"/>
              </w:rPr>
              <w:t>详见招标参数要求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811" w:type="dxa"/>
            <w:vMerge w:val="continue"/>
            <w:vAlign w:val="center"/>
          </w:tcPr>
          <w:p>
            <w:pPr>
              <w:jc w:val="center"/>
              <w:rPr>
                <w:rFonts w:ascii="宋体" w:hAnsi="宋体"/>
              </w:rPr>
            </w:pPr>
          </w:p>
        </w:tc>
        <w:tc>
          <w:tcPr>
            <w:tcW w:w="838" w:type="dxa"/>
            <w:vAlign w:val="center"/>
          </w:tcPr>
          <w:p>
            <w:pPr>
              <w:jc w:val="center"/>
              <w:rPr>
                <w:rFonts w:ascii="宋体" w:hAnsi="宋体"/>
              </w:rPr>
            </w:pPr>
            <w:r>
              <w:rPr>
                <w:rFonts w:hint="eastAsia" w:ascii="宋体" w:hAnsi="宋体"/>
              </w:rPr>
              <w:t>1-2</w:t>
            </w:r>
          </w:p>
        </w:tc>
        <w:tc>
          <w:tcPr>
            <w:tcW w:w="2513" w:type="dxa"/>
            <w:vAlign w:val="center"/>
          </w:tcPr>
          <w:p>
            <w:pPr>
              <w:textAlignment w:val="center"/>
              <w:rPr>
                <w:rFonts w:ascii="宋体" w:hAnsi="宋体" w:cs="宋体"/>
                <w:szCs w:val="24"/>
              </w:rPr>
            </w:pPr>
            <w:r>
              <w:rPr>
                <w:rFonts w:hint="eastAsia" w:ascii="宋体" w:hAnsi="宋体" w:cs="宋体"/>
                <w:szCs w:val="24"/>
              </w:rPr>
              <w:t>等保测评服务</w:t>
            </w:r>
          </w:p>
        </w:tc>
        <w:tc>
          <w:tcPr>
            <w:tcW w:w="968" w:type="dxa"/>
            <w:vAlign w:val="center"/>
          </w:tcPr>
          <w:p>
            <w:pPr>
              <w:jc w:val="center"/>
              <w:rPr>
                <w:rFonts w:ascii="宋体" w:hAnsi="宋体"/>
              </w:rPr>
            </w:pPr>
            <w:r>
              <w:rPr>
                <w:rFonts w:hint="eastAsia" w:ascii="宋体" w:hAnsi="宋体"/>
              </w:rPr>
              <w:t>1项</w:t>
            </w:r>
          </w:p>
        </w:tc>
        <w:tc>
          <w:tcPr>
            <w:tcW w:w="1926" w:type="dxa"/>
            <w:vAlign w:val="center"/>
          </w:tcPr>
          <w:p>
            <w:pPr>
              <w:spacing w:line="276" w:lineRule="auto"/>
              <w:jc w:val="center"/>
              <w:rPr>
                <w:rFonts w:ascii="宋体" w:hAnsi="宋体"/>
                <w:color w:val="000000"/>
                <w:szCs w:val="24"/>
              </w:rPr>
            </w:pPr>
            <w:r>
              <w:rPr>
                <w:rFonts w:hint="eastAsia" w:ascii="宋体" w:hAnsi="宋体"/>
                <w:color w:val="000000"/>
                <w:szCs w:val="24"/>
              </w:rPr>
              <w:t>170000.00</w:t>
            </w:r>
          </w:p>
        </w:tc>
        <w:tc>
          <w:tcPr>
            <w:tcW w:w="1887"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811" w:type="dxa"/>
            <w:vMerge w:val="continue"/>
            <w:vAlign w:val="center"/>
          </w:tcPr>
          <w:p>
            <w:pPr>
              <w:jc w:val="center"/>
              <w:rPr>
                <w:rFonts w:ascii="宋体" w:hAnsi="宋体"/>
              </w:rPr>
            </w:pPr>
          </w:p>
        </w:tc>
        <w:tc>
          <w:tcPr>
            <w:tcW w:w="838" w:type="dxa"/>
            <w:vAlign w:val="center"/>
          </w:tcPr>
          <w:p>
            <w:pPr>
              <w:jc w:val="center"/>
              <w:rPr>
                <w:rFonts w:ascii="宋体" w:hAnsi="宋体"/>
              </w:rPr>
            </w:pPr>
            <w:r>
              <w:rPr>
                <w:rFonts w:hint="eastAsia" w:ascii="宋体" w:hAnsi="宋体"/>
              </w:rPr>
              <w:t>1-3</w:t>
            </w:r>
          </w:p>
        </w:tc>
        <w:tc>
          <w:tcPr>
            <w:tcW w:w="2513" w:type="dxa"/>
            <w:vAlign w:val="center"/>
          </w:tcPr>
          <w:p>
            <w:pPr>
              <w:textAlignment w:val="center"/>
              <w:rPr>
                <w:rFonts w:ascii="宋体" w:hAnsi="宋体" w:cs="宋体"/>
                <w:szCs w:val="24"/>
              </w:rPr>
            </w:pPr>
            <w:r>
              <w:rPr>
                <w:rFonts w:hint="eastAsia" w:ascii="宋体" w:hAnsi="宋体" w:cs="宋体"/>
                <w:szCs w:val="24"/>
              </w:rPr>
              <w:t>内容监测服务</w:t>
            </w:r>
          </w:p>
        </w:tc>
        <w:tc>
          <w:tcPr>
            <w:tcW w:w="968" w:type="dxa"/>
            <w:vAlign w:val="center"/>
          </w:tcPr>
          <w:p>
            <w:pPr>
              <w:jc w:val="center"/>
              <w:rPr>
                <w:rFonts w:ascii="宋体" w:hAnsi="宋体"/>
              </w:rPr>
            </w:pPr>
            <w:r>
              <w:rPr>
                <w:rFonts w:hint="eastAsia" w:ascii="宋体" w:hAnsi="宋体"/>
              </w:rPr>
              <w:t>1项</w:t>
            </w:r>
          </w:p>
        </w:tc>
        <w:tc>
          <w:tcPr>
            <w:tcW w:w="1926" w:type="dxa"/>
            <w:vAlign w:val="center"/>
          </w:tcPr>
          <w:p>
            <w:pPr>
              <w:spacing w:line="276" w:lineRule="auto"/>
              <w:jc w:val="center"/>
              <w:rPr>
                <w:rFonts w:ascii="宋体" w:hAnsi="宋体"/>
              </w:rPr>
            </w:pPr>
            <w:r>
              <w:rPr>
                <w:rFonts w:hint="eastAsia" w:ascii="宋体" w:hAnsi="宋体"/>
                <w:color w:val="000000"/>
                <w:szCs w:val="24"/>
              </w:rPr>
              <w:t>100000.00</w:t>
            </w:r>
          </w:p>
        </w:tc>
        <w:tc>
          <w:tcPr>
            <w:tcW w:w="1887"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5130" w:type="dxa"/>
            <w:gridSpan w:val="4"/>
            <w:vAlign w:val="center"/>
          </w:tcPr>
          <w:p>
            <w:pPr>
              <w:spacing w:line="276" w:lineRule="auto"/>
              <w:jc w:val="center"/>
              <w:rPr>
                <w:rFonts w:ascii="宋体" w:hAnsi="宋体"/>
                <w:color w:val="000000"/>
                <w:szCs w:val="24"/>
              </w:rPr>
            </w:pPr>
            <w:r>
              <w:rPr>
                <w:rFonts w:hint="eastAsia" w:ascii="宋体" w:hAnsi="宋体"/>
                <w:color w:val="000000"/>
                <w:szCs w:val="24"/>
              </w:rPr>
              <w:t>合  计</w:t>
            </w:r>
          </w:p>
        </w:tc>
        <w:tc>
          <w:tcPr>
            <w:tcW w:w="1926" w:type="dxa"/>
            <w:vAlign w:val="center"/>
          </w:tcPr>
          <w:p>
            <w:pPr>
              <w:spacing w:line="276" w:lineRule="auto"/>
              <w:jc w:val="center"/>
              <w:rPr>
                <w:rFonts w:ascii="宋体" w:hAnsi="宋体"/>
                <w:color w:val="000000"/>
                <w:szCs w:val="24"/>
              </w:rPr>
            </w:pPr>
            <w:r>
              <w:rPr>
                <w:rFonts w:hint="eastAsia" w:ascii="宋体" w:hAnsi="宋体"/>
                <w:color w:val="000000"/>
                <w:szCs w:val="24"/>
              </w:rPr>
              <w:t>530000.00</w:t>
            </w:r>
          </w:p>
        </w:tc>
        <w:tc>
          <w:tcPr>
            <w:tcW w:w="1887" w:type="dxa"/>
            <w:vMerge w:val="continue"/>
            <w:vAlign w:val="center"/>
          </w:tcPr>
          <w:p>
            <w:pPr>
              <w:jc w:val="center"/>
              <w:rPr>
                <w:rFonts w:ascii="宋体" w:hAnsi="宋体"/>
              </w:rPr>
            </w:pPr>
          </w:p>
        </w:tc>
      </w:tr>
    </w:tbl>
    <w:p>
      <w:pPr>
        <w:outlineLvl w:val="0"/>
        <w:rPr>
          <w:rFonts w:ascii="宋体" w:hAnsi="宋体"/>
          <w:b/>
          <w:color w:val="000000"/>
          <w:sz w:val="30"/>
          <w:szCs w:val="30"/>
        </w:rPr>
      </w:pPr>
      <w:r>
        <w:rPr>
          <w:rFonts w:hint="eastAsia" w:ascii="宋体" w:hAnsi="宋体"/>
          <w:b/>
          <w:color w:val="000000"/>
          <w:sz w:val="30"/>
          <w:szCs w:val="30"/>
        </w:rPr>
        <w:t>二、招标参数要求</w:t>
      </w:r>
    </w:p>
    <w:p>
      <w:pPr>
        <w:pStyle w:val="9"/>
        <w:widowControl/>
        <w:spacing w:before="75" w:beforeAutospacing="0" w:after="75" w:afterAutospacing="0" w:line="480" w:lineRule="exact"/>
        <w:outlineLvl w:val="1"/>
        <w:rPr>
          <w:rFonts w:ascii="宋体" w:hAnsi="宋体"/>
          <w:b/>
          <w:color w:val="000000"/>
          <w:sz w:val="28"/>
          <w:szCs w:val="28"/>
        </w:rPr>
      </w:pPr>
      <w:r>
        <w:rPr>
          <w:rFonts w:hint="eastAsia" w:ascii="宋体" w:hAnsi="宋体"/>
          <w:b/>
          <w:color w:val="000000"/>
          <w:sz w:val="28"/>
          <w:szCs w:val="28"/>
        </w:rPr>
        <w:t>（一）品目号1-1 信息系统运维服务</w:t>
      </w:r>
    </w:p>
    <w:p>
      <w:pPr>
        <w:pStyle w:val="3"/>
      </w:pPr>
      <w:r>
        <w:rPr>
          <w:rFonts w:hint="eastAsia"/>
        </w:rPr>
        <w:t>1、项目背景</w:t>
      </w:r>
    </w:p>
    <w:p>
      <w:pPr>
        <w:ind w:firstLine="480" w:firstLineChars="200"/>
      </w:pPr>
      <w:r>
        <w:rPr>
          <w:rFonts w:hint="eastAsia"/>
        </w:rPr>
        <w:t>为适应新时期市场监管业务改革需要，根据“数字福建”顶层设计和国家金质工程标准体系，从统一规划、统一应用、统一服务、统一数据和集中部署要求出发，依托省电子政务网络体系和云平台，建设了原福建省质量技术监督局综合业务管理信息系统，包括</w:t>
      </w:r>
      <w:r>
        <w:t>行政许可审批监管系统</w:t>
      </w:r>
      <w:r>
        <w:rPr>
          <w:rFonts w:hint="eastAsia"/>
        </w:rPr>
        <w:t>、</w:t>
      </w:r>
      <w:r>
        <w:t>网上办事平台（外网申报平台）</w:t>
      </w:r>
      <w:r>
        <w:rPr>
          <w:rFonts w:hint="eastAsia"/>
        </w:rPr>
        <w:t>、</w:t>
      </w:r>
      <w:r>
        <w:t>集成式“双随机”抽查平台</w:t>
      </w:r>
      <w:r>
        <w:rPr>
          <w:rFonts w:hint="eastAsia"/>
        </w:rPr>
        <w:t>、</w:t>
      </w:r>
      <w:r>
        <w:t>科技项目管理系统</w:t>
      </w:r>
      <w:r>
        <w:rPr>
          <w:rFonts w:hint="eastAsia"/>
        </w:rPr>
        <w:t>、</w:t>
      </w:r>
      <w:r>
        <w:t>产品质量智慧抽查管理系统</w:t>
      </w:r>
      <w:r>
        <w:rPr>
          <w:rFonts w:hint="eastAsia"/>
        </w:rPr>
        <w:t>以及</w:t>
      </w:r>
      <w:r>
        <w:t>原福建省质量技术监督局行政服务中心智能办公系统</w:t>
      </w:r>
      <w:r>
        <w:rPr>
          <w:rFonts w:hint="eastAsia"/>
        </w:rPr>
        <w:t>等，实现办公智能管理、业务协同互通、数据开放共享、公众服务便捷高效。</w:t>
      </w:r>
    </w:p>
    <w:p>
      <w:pPr>
        <w:pStyle w:val="3"/>
      </w:pPr>
      <w:r>
        <w:rPr>
          <w:rFonts w:hint="eastAsia"/>
        </w:rPr>
        <w:t>2、维护目标</w:t>
      </w:r>
    </w:p>
    <w:p>
      <w:pPr>
        <w:ind w:firstLine="480" w:firstLineChars="200"/>
      </w:pPr>
      <w:r>
        <w:rPr>
          <w:rFonts w:hint="eastAsia"/>
        </w:rPr>
        <w:t>为保障综合业务管理信息系统正常运行，要对应用系统软件进行维护，并协调相关厂商提供技术支持服务工作。保障各系统运行的总体平稳、安全、可靠。本项目中所有项目技术资料（包含但不限于技术文档、源代码、数据等），均由投标人负责与原系统承建单位协调、对接及获取。</w:t>
      </w:r>
    </w:p>
    <w:p>
      <w:pPr>
        <w:pStyle w:val="3"/>
      </w:pPr>
      <w:r>
        <w:rPr>
          <w:rFonts w:hint="eastAsia"/>
        </w:rPr>
        <w:t>3、服务范围</w:t>
      </w:r>
    </w:p>
    <w:p>
      <w:pPr>
        <w:ind w:firstLine="480" w:firstLineChars="200"/>
      </w:pPr>
      <w:r>
        <w:rPr>
          <w:rFonts w:hint="eastAsia"/>
        </w:rPr>
        <w:t>维护服务具体范围主要包括以下六个系统：</w:t>
      </w:r>
    </w:p>
    <w:p>
      <w:pPr>
        <w:ind w:firstLine="480" w:firstLineChars="200"/>
      </w:pPr>
      <w:r>
        <w:rPr>
          <w:rFonts w:hint="eastAsia"/>
        </w:rPr>
        <w:t>1.行政许可审批监管系统：主要包含工业产品许可证业务、计量业务、检验检测资质认定业务的行政审批业务办理以及相关的证书管理、数据统计功能等。</w:t>
      </w:r>
    </w:p>
    <w:p>
      <w:pPr>
        <w:ind w:firstLine="480" w:firstLineChars="200"/>
      </w:pPr>
      <w:r>
        <w:rPr>
          <w:rFonts w:hint="eastAsia"/>
        </w:rPr>
        <w:t>2.网上办事平台（外网申报平台）：提供企业进行相关行政许可业务（工业产品许可证业务、计量业务、检验检测资质认定业务）的事项申报。</w:t>
      </w:r>
    </w:p>
    <w:p>
      <w:pPr>
        <w:ind w:firstLine="480" w:firstLineChars="200"/>
      </w:pPr>
      <w:r>
        <w:rPr>
          <w:rFonts w:hint="eastAsia"/>
        </w:rPr>
        <w:t>3.集成式“双随机”抽查平台：双随机抽查、双名录库的维护及抽查结果管理等。</w:t>
      </w:r>
    </w:p>
    <w:p>
      <w:pPr>
        <w:ind w:firstLine="480" w:firstLineChars="200"/>
      </w:pPr>
      <w:r>
        <w:rPr>
          <w:rFonts w:hint="eastAsia"/>
        </w:rPr>
        <w:t>4.科技项目管理系统：科技项目的申报、审核、审批的全流程管理。</w:t>
      </w:r>
    </w:p>
    <w:p>
      <w:pPr>
        <w:ind w:firstLine="480" w:firstLineChars="200"/>
      </w:pPr>
      <w:r>
        <w:rPr>
          <w:rFonts w:hint="eastAsia"/>
        </w:rPr>
        <w:t>5.质量智慧抽查管理系统：监督抽查任务、数据上报、企业库管理以及相对应的统计报表分析等。</w:t>
      </w:r>
    </w:p>
    <w:p>
      <w:pPr>
        <w:ind w:firstLine="480" w:firstLineChars="200"/>
      </w:pPr>
      <w:r>
        <w:rPr>
          <w:rFonts w:hint="eastAsia"/>
        </w:rPr>
        <w:t>6.原福建省质量技术监督局行政服务中心智能办公系统：中心协同办公系统，主要包含发文管理、收文管理、请假管理、图书管理、物品管理等。</w:t>
      </w:r>
    </w:p>
    <w:p>
      <w:pPr>
        <w:pStyle w:val="3"/>
      </w:pPr>
      <w:r>
        <w:rPr>
          <w:rFonts w:hint="eastAsia"/>
        </w:rPr>
        <w:t>4、服务内容</w:t>
      </w:r>
    </w:p>
    <w:p>
      <w:pPr>
        <w:ind w:firstLine="480" w:firstLineChars="200"/>
      </w:pPr>
      <w:r>
        <w:rPr>
          <w:rFonts w:hint="eastAsia"/>
        </w:rPr>
        <w:t>对服务范围内的应用软件进行日常应用维护、应用功能调整、应用性能优化、数据维护等维护服务工作。具体要求如下：</w:t>
      </w:r>
    </w:p>
    <w:p>
      <w:pPr>
        <w:pStyle w:val="4"/>
      </w:pPr>
      <w:r>
        <w:t>4.1日常应用维护</w:t>
      </w:r>
    </w:p>
    <w:p>
      <w:pPr>
        <w:ind w:firstLine="480" w:firstLineChars="200"/>
      </w:pPr>
      <w:r>
        <w:rPr>
          <w:rFonts w:hint="eastAsia"/>
        </w:rPr>
        <w:t>通过技术服务电话、工作交流群等</w:t>
      </w:r>
      <w:r>
        <w:t>渠道，解决用户在使用服务范围内应用软件时遇到的问题，包括解答用户对应用软件功能的疑问、处理并回复用户对应用软件提出的问题等；并定期对日常问题进行分类汇总、分析。</w:t>
      </w:r>
    </w:p>
    <w:p>
      <w:pPr>
        <w:ind w:firstLine="480" w:firstLineChars="200"/>
      </w:pPr>
      <w:r>
        <w:rPr>
          <w:rFonts w:hint="eastAsia"/>
        </w:rPr>
        <w:t>完成甲方交办的软件功能故障诊断、控件安装及操作指导等任务，根据工作要求，完成省局各处室的上门服务工作。</w:t>
      </w:r>
    </w:p>
    <w:p>
      <w:pPr>
        <w:ind w:firstLine="480" w:firstLineChars="200"/>
      </w:pPr>
      <w:r>
        <w:rPr>
          <w:rFonts w:hint="eastAsia"/>
        </w:rPr>
        <w:t>完成甲方交办的服务范围内各系统关于福建省电子政务绩效考核的技术保障任务。</w:t>
      </w:r>
    </w:p>
    <w:p>
      <w:pPr>
        <w:ind w:firstLine="480" w:firstLineChars="200"/>
      </w:pPr>
      <w:r>
        <w:rPr>
          <w:rFonts w:hint="eastAsia"/>
        </w:rPr>
        <w:t>根据各级机关正式文件上报的数据后台修改需求，进行数据处理与回复。</w:t>
      </w:r>
    </w:p>
    <w:p>
      <w:pPr>
        <w:ind w:firstLine="480" w:firstLineChars="200"/>
        <w:rPr>
          <w:rFonts w:hint="eastAsia"/>
          <w:color w:val="FF0000"/>
          <w:lang w:eastAsia="zh-CN"/>
        </w:rPr>
      </w:pPr>
      <w:r>
        <w:rPr>
          <w:rFonts w:hint="eastAsia"/>
          <w:color w:val="FF0000"/>
          <w:lang w:eastAsia="zh-CN"/>
        </w:rPr>
        <w:t>配合甲方根据发现的应用系统安全漏洞进行整改和复测等工作。</w:t>
      </w:r>
    </w:p>
    <w:p>
      <w:pPr>
        <w:ind w:firstLine="480" w:firstLineChars="200"/>
      </w:pPr>
      <w:r>
        <w:rPr>
          <w:rFonts w:hint="eastAsia"/>
        </w:rPr>
        <w:t>配合有关业务处室，提供定期的或临时的、随机性和灵活度较大的查询统计数据清单。</w:t>
      </w:r>
    </w:p>
    <w:p>
      <w:pPr>
        <w:ind w:firstLine="480" w:firstLineChars="200"/>
      </w:pPr>
      <w:r>
        <w:rPr>
          <w:rFonts w:hint="eastAsia"/>
        </w:rPr>
        <w:t>完成甲方交办的关于服务范围内各系统的其他工作任务。</w:t>
      </w:r>
    </w:p>
    <w:p>
      <w:pPr>
        <w:pStyle w:val="4"/>
      </w:pPr>
      <w:r>
        <w:rPr>
          <w:rFonts w:hint="eastAsia"/>
        </w:rPr>
        <w:t>4</w:t>
      </w:r>
      <w:r>
        <w:t>.2</w:t>
      </w:r>
      <w:r>
        <w:rPr>
          <w:rFonts w:hint="eastAsia"/>
        </w:rPr>
        <w:t>应用使用过程支持</w:t>
      </w:r>
    </w:p>
    <w:p>
      <w:pPr>
        <w:ind w:firstLine="480" w:firstLineChars="200"/>
      </w:pPr>
      <w:r>
        <w:rPr>
          <w:rFonts w:hint="eastAsia"/>
        </w:rPr>
        <w:t>在应用使用过程中，通过电话、邮件等方式，对内部外部人员所碰到的系统使用问题进行解答反馈。配备专人答复用户使用过程中的各类技术问题。</w:t>
      </w:r>
    </w:p>
    <w:p>
      <w:pPr>
        <w:pStyle w:val="4"/>
      </w:pPr>
      <w:r>
        <w:t>4.3特别事件</w:t>
      </w:r>
      <w:r>
        <w:rPr>
          <w:rFonts w:hint="eastAsia"/>
        </w:rPr>
        <w:t>、关键时间节点</w:t>
      </w:r>
      <w:r>
        <w:t>响应维护及其他维护工作</w:t>
      </w:r>
    </w:p>
    <w:p>
      <w:pPr>
        <w:ind w:firstLine="480" w:firstLineChars="200"/>
      </w:pPr>
      <w:r>
        <w:rPr>
          <w:rFonts w:hint="eastAsia"/>
        </w:rPr>
        <w:t>配合甲方进行各类业务探讨、会议交流等的技术保障，对安全通报等特别事件、重要时间节点等提供技术保障及维护。</w:t>
      </w:r>
    </w:p>
    <w:p>
      <w:pPr>
        <w:pStyle w:val="3"/>
      </w:pPr>
      <w:r>
        <w:rPr>
          <w:rFonts w:hint="eastAsia"/>
        </w:rPr>
        <w:t>5、人员要求</w:t>
      </w:r>
    </w:p>
    <w:p>
      <w:pPr>
        <w:ind w:firstLine="480" w:firstLineChars="200"/>
      </w:pPr>
      <w:r>
        <w:rPr>
          <w:rFonts w:hint="eastAsia"/>
        </w:rPr>
        <w:t>1.维护服务时间：</w:t>
      </w:r>
      <w:r>
        <w:rPr>
          <w:rFonts w:hint="eastAsia"/>
          <w:color w:val="FF0000"/>
          <w:lang w:eastAsia="zh-CN"/>
        </w:rPr>
        <w:t>至省局智慧应用一体化平台上线之日止，最长不超过</w:t>
      </w:r>
      <w:r>
        <w:rPr>
          <w:rFonts w:hint="eastAsia"/>
          <w:color w:val="FF0000"/>
          <w:lang w:val="en-US" w:eastAsia="zh-CN"/>
        </w:rPr>
        <w:t>15个月</w:t>
      </w:r>
      <w:r>
        <w:rPr>
          <w:rFonts w:hint="eastAsia"/>
          <w:color w:val="FF0000"/>
        </w:rPr>
        <w:t>。</w:t>
      </w:r>
      <w:r>
        <w:t>运维服务商遵守</w:t>
      </w:r>
      <w:r>
        <w:rPr>
          <w:rFonts w:hint="eastAsia"/>
        </w:rPr>
        <w:t>甲方</w:t>
      </w:r>
      <w:r>
        <w:t>的管理制度要求，提供</w:t>
      </w:r>
      <w:r>
        <w:rPr>
          <w:rFonts w:hint="eastAsia"/>
        </w:rPr>
        <w:t>现场</w:t>
      </w:r>
      <w:r>
        <w:t>运维服务</w:t>
      </w:r>
      <w:r>
        <w:rPr>
          <w:rFonts w:hint="eastAsia"/>
        </w:rPr>
        <w:t>。</w:t>
      </w:r>
    </w:p>
    <w:p>
      <w:pPr>
        <w:ind w:firstLine="480" w:firstLineChars="200"/>
      </w:pPr>
      <w:r>
        <w:rPr>
          <w:rFonts w:hint="eastAsia"/>
        </w:rPr>
        <w:t>2.</w:t>
      </w:r>
      <w:r>
        <w:t>一线为现场运维服务团队，作为运维服务的统一入口，在法定工作日及</w:t>
      </w:r>
      <w:r>
        <w:rPr>
          <w:rFonts w:hint="eastAsia"/>
        </w:rPr>
        <w:t>甲方要求的其他时间开展现场</w:t>
      </w:r>
      <w:r>
        <w:t>驻场服务，统一接受用户的服务请求，第一时间进行问题响应。</w:t>
      </w:r>
    </w:p>
    <w:p>
      <w:pPr>
        <w:ind w:firstLine="480" w:firstLineChars="200"/>
      </w:pPr>
      <w:r>
        <w:rPr>
          <w:rFonts w:hint="eastAsia"/>
        </w:rPr>
        <w:t>3.</w:t>
      </w:r>
      <w:r>
        <w:t>运维服务商应为本项目成立二线运维支持团队，负责应用优化调整、系统软件安装配置等具体工作的执行并协助一线人员，为本项目提供高层次技术支持和重大事项处理服务。在需要应用软件功能调整的情况下，运维服务商应保证人员投入充足，使得运维调整进度符合采购人要求。</w:t>
      </w:r>
    </w:p>
    <w:p>
      <w:pPr>
        <w:ind w:firstLine="480" w:firstLineChars="200"/>
      </w:pPr>
      <w:r>
        <w:rPr>
          <w:rFonts w:hint="eastAsia"/>
        </w:rPr>
        <w:t>4.</w:t>
      </w:r>
      <w:r>
        <w:t>维护期内原则上不允许更换项目技术人员。维护期间确需人员变动，须配备同资质人员，并提前报请采购人认可。</w:t>
      </w:r>
    </w:p>
    <w:p>
      <w:pPr>
        <w:pStyle w:val="3"/>
      </w:pPr>
      <w:r>
        <w:rPr>
          <w:rFonts w:hint="eastAsia"/>
        </w:rPr>
        <w:t>6、维护服务技术要求</w:t>
      </w:r>
    </w:p>
    <w:p>
      <w:pPr>
        <w:pStyle w:val="4"/>
      </w:pPr>
      <w:r>
        <w:t>6.1电话支持服务</w:t>
      </w:r>
    </w:p>
    <w:p>
      <w:pPr>
        <w:ind w:firstLine="480" w:firstLineChars="200"/>
      </w:pPr>
      <w:r>
        <w:rPr>
          <w:rFonts w:hint="eastAsia"/>
        </w:rPr>
        <w:t>运维服务商应设立</w:t>
      </w:r>
      <w:r>
        <w:t>7*24小时(根据服务级别)的热线响应电话，并安排有经验的工程师接受申报。当出现故障时，采购人通过运维服务商指定的热线响应电话进行故障报修或技术咨询。运维服务商应保证服务时间内，95%以上的呼叫接通时间小于30秒；当运维服务商需要查阅相关资料再对采购人的问题进行回复时，应确保在30分钟内回复。</w:t>
      </w:r>
    </w:p>
    <w:p>
      <w:pPr>
        <w:pStyle w:val="4"/>
      </w:pPr>
      <w:r>
        <w:t>6.2现场支持服务</w:t>
      </w:r>
    </w:p>
    <w:p>
      <w:pPr>
        <w:ind w:firstLine="480" w:firstLineChars="200"/>
      </w:pPr>
      <w:r>
        <w:rPr>
          <w:rFonts w:hint="eastAsia"/>
        </w:rPr>
        <w:t>运维服务商提供现场支持服务时，应安排具有与故障相关的专业技术能力的工程师赴现场分析故障原因，制定故障解决方案，并最终排除故障。</w:t>
      </w:r>
    </w:p>
    <w:p>
      <w:pPr>
        <w:ind w:firstLine="480" w:firstLineChars="200"/>
      </w:pPr>
      <w:r>
        <w:rPr>
          <w:rFonts w:hint="eastAsia"/>
        </w:rPr>
        <w:t>运维服务商的技术人员在处理故障时不能影响到其他设备的正常运行；在必须进行系统重装或系统启动等较大操作时，须经采购人相关负责人批准后方可实施。</w:t>
      </w:r>
    </w:p>
    <w:p>
      <w:pPr>
        <w:ind w:firstLine="480" w:firstLineChars="200"/>
      </w:pPr>
      <w:r>
        <w:rPr>
          <w:rFonts w:hint="eastAsia"/>
        </w:rPr>
        <w:t>运维服务商服务人员在处理故障时，要认真填写《故障处理报告》，并需得到用户签字确认及存档后方可离开，《故障处理报告》同时存入运维服务商的用户故障处理数据库（知识库）。</w:t>
      </w:r>
    </w:p>
    <w:p>
      <w:pPr>
        <w:pStyle w:val="4"/>
      </w:pPr>
      <w:r>
        <w:t>6.3故障响应速度、故障恢复时间要求</w:t>
      </w:r>
    </w:p>
    <w:p>
      <w:pPr>
        <w:ind w:firstLine="480" w:firstLineChars="200"/>
      </w:pPr>
      <w:r>
        <w:t>法定工作日</w:t>
      </w:r>
      <w:r>
        <w:rPr>
          <w:rFonts w:hint="eastAsia"/>
        </w:rPr>
        <w:t>发生问题时，运维服务商的驻场技术人员应立即响应处理。其他时间发生问题时，运维服务商应在</w:t>
      </w:r>
      <w:r>
        <w:t>30分钟内响应，2小时内到场，1个工作日内提供故障解决方案并解决故障（突发应急事件除外）。</w:t>
      </w:r>
    </w:p>
    <w:p>
      <w:pPr>
        <w:ind w:firstLine="480" w:firstLineChars="200"/>
      </w:pPr>
      <w:r>
        <w:rPr>
          <w:rFonts w:hint="eastAsia"/>
        </w:rPr>
        <w:t>要求故障处理结束后</w:t>
      </w:r>
      <w:r>
        <w:t>2个工作日内，提交《故障报告》。</w:t>
      </w:r>
    </w:p>
    <w:p>
      <w:pPr>
        <w:pStyle w:val="3"/>
      </w:pPr>
      <w:r>
        <w:rPr>
          <w:rFonts w:hint="eastAsia"/>
        </w:rPr>
        <w:t>7、技术文档及资料要求</w:t>
      </w:r>
    </w:p>
    <w:p>
      <w:pPr>
        <w:ind w:firstLine="480" w:firstLineChars="200"/>
      </w:pPr>
      <w:r>
        <w:t>对平台所有应用系统、应用服务器、数据库服务器每日开展巡检，并填写巡检记录表。</w:t>
      </w:r>
    </w:p>
    <w:p>
      <w:pPr>
        <w:pStyle w:val="3"/>
      </w:pPr>
      <w:r>
        <w:rPr>
          <w:rFonts w:hint="eastAsia"/>
        </w:rPr>
        <w:t>8、质量保证要求</w:t>
      </w:r>
    </w:p>
    <w:p>
      <w:pPr>
        <w:ind w:firstLine="480" w:firstLineChars="200"/>
      </w:pPr>
      <w:r>
        <w:t>运维服务商需遵守采购人质量评价的相关规定。项目结束时，采购人组织对本项目按照本需求约定的内容和采购人的评价体系进行考核，如果发现由于运维服务商提供的产品或服务缺陷导致的问题，运维服务商应按本需求的要求限时整改。</w:t>
      </w:r>
    </w:p>
    <w:p>
      <w:pPr>
        <w:pStyle w:val="3"/>
      </w:pPr>
      <w:r>
        <w:rPr>
          <w:rFonts w:hint="eastAsia"/>
        </w:rPr>
        <w:t>9、运维服务管理要求</w:t>
      </w:r>
    </w:p>
    <w:p>
      <w:pPr>
        <w:pStyle w:val="4"/>
      </w:pPr>
      <w:r>
        <w:t xml:space="preserve">9.1运维服务商职责 </w:t>
      </w:r>
    </w:p>
    <w:p>
      <w:pPr>
        <w:ind w:firstLine="480" w:firstLineChars="200"/>
      </w:pPr>
      <w:r>
        <w:rPr>
          <w:rFonts w:hint="eastAsia"/>
        </w:rPr>
        <w:t>在本项目中，运维服务商作为整体运维服务的提供方，承担运维服务的技术管理、实施和协调工作。包括</w:t>
      </w:r>
      <w:r>
        <w:t xml:space="preserve"> ：</w:t>
      </w:r>
    </w:p>
    <w:p>
      <w:pPr>
        <w:ind w:firstLine="480" w:firstLineChars="200"/>
      </w:pPr>
      <w:r>
        <w:t>1</w:t>
      </w:r>
      <w:r>
        <w:rPr>
          <w:rFonts w:hint="eastAsia"/>
        </w:rPr>
        <w:t>.</w:t>
      </w:r>
      <w:r>
        <w:t>制定切实可行的维保计划，提供本需求书所要求的相关服务；</w:t>
      </w:r>
    </w:p>
    <w:p>
      <w:pPr>
        <w:ind w:firstLine="480" w:firstLineChars="200"/>
      </w:pPr>
      <w:r>
        <w:t>2</w:t>
      </w:r>
      <w:r>
        <w:rPr>
          <w:rFonts w:hint="eastAsia"/>
        </w:rPr>
        <w:t>.</w:t>
      </w:r>
      <w:r>
        <w:t>提供符合本需求要求的技术人员，通过运维服务商的管理机制体系，来保证项目的顺利实施；</w:t>
      </w:r>
    </w:p>
    <w:p>
      <w:pPr>
        <w:ind w:firstLine="480" w:firstLineChars="200"/>
      </w:pPr>
      <w:r>
        <w:t>3</w:t>
      </w:r>
      <w:r>
        <w:rPr>
          <w:rFonts w:hint="eastAsia"/>
        </w:rPr>
        <w:t>.</w:t>
      </w:r>
      <w:r>
        <w:t>提供完整的技术文档资料、完整的测试、调优、维护服务与建议；</w:t>
      </w:r>
    </w:p>
    <w:p>
      <w:pPr>
        <w:ind w:firstLine="480" w:firstLineChars="200"/>
      </w:pPr>
      <w:r>
        <w:t>4</w:t>
      </w:r>
      <w:r>
        <w:rPr>
          <w:rFonts w:hint="eastAsia"/>
        </w:rPr>
        <w:t>.</w:t>
      </w:r>
      <w:r>
        <w:t>在服务期内持续进行系统的优化和符合本需求要求的技术支持；</w:t>
      </w:r>
    </w:p>
    <w:p>
      <w:pPr>
        <w:ind w:firstLine="480" w:firstLineChars="200"/>
      </w:pPr>
      <w:r>
        <w:t>5</w:t>
      </w:r>
      <w:r>
        <w:rPr>
          <w:rFonts w:hint="eastAsia"/>
        </w:rPr>
        <w:t>.</w:t>
      </w:r>
      <w:r>
        <w:t>在维保服务期内，若系统发生突发事件，及时恢复系统运行。</w:t>
      </w:r>
    </w:p>
    <w:p>
      <w:pPr>
        <w:pStyle w:val="4"/>
      </w:pPr>
      <w:r>
        <w:t>9.2运维服务体系</w:t>
      </w:r>
    </w:p>
    <w:p>
      <w:pPr>
        <w:ind w:firstLine="480" w:firstLineChars="200"/>
      </w:pPr>
      <w:r>
        <w:rPr>
          <w:rFonts w:hint="eastAsia"/>
        </w:rPr>
        <w:t>运维服务商提交正式的文件，以说明其具备专业的支持服务管理机构，管理流程和服务保障体系。运维服务商配备专业的服务响应中心，能够以电话、微信、现场支持等方式每周</w:t>
      </w:r>
      <w:r>
        <w:t>7天、每天24小时（以下简称“7*24小时”）响应采购人的服务请求，并具有流程化的管理处理能力。</w:t>
      </w:r>
    </w:p>
    <w:p>
      <w:pPr>
        <w:pStyle w:val="4"/>
      </w:pPr>
      <w:r>
        <w:t>9.3安全服务管理</w:t>
      </w:r>
    </w:p>
    <w:p>
      <w:pPr>
        <w:ind w:firstLine="480" w:firstLineChars="200"/>
      </w:pPr>
      <w:r>
        <w:rPr>
          <w:rFonts w:hint="eastAsia"/>
        </w:rPr>
        <w:t>运维服务商必须服从采购人对安全管理规定和要求，配合落实安全管理的各项工作，提供技术保障服务。</w:t>
      </w:r>
    </w:p>
    <w:p>
      <w:pPr>
        <w:pStyle w:val="4"/>
      </w:pPr>
      <w:r>
        <w:t>9.4知识管理</w:t>
      </w:r>
    </w:p>
    <w:p>
      <w:pPr>
        <w:ind w:firstLine="480" w:firstLineChars="200"/>
      </w:pPr>
      <w:r>
        <w:rPr>
          <w:rFonts w:hint="eastAsia"/>
        </w:rPr>
        <w:t>运维服务商提供必要的知识管理，相关知识管理内容包括且不限于各类手册、巡检记录、</w:t>
      </w:r>
      <w:r>
        <w:t>Case处理记录、故障处理记录等。</w:t>
      </w:r>
    </w:p>
    <w:p>
      <w:pPr>
        <w:pStyle w:val="4"/>
      </w:pPr>
      <w:r>
        <w:t>9.5风险评估与建议</w:t>
      </w:r>
    </w:p>
    <w:p>
      <w:pPr>
        <w:ind w:firstLine="480" w:firstLineChars="200"/>
      </w:pPr>
      <w:r>
        <w:rPr>
          <w:rFonts w:hint="eastAsia"/>
        </w:rPr>
        <w:t>运维服务商根据资源开销、性能下降等现象，对运行环境进行必要的风险评估，向采购人发起设备更新替代相关建议。</w:t>
      </w:r>
    </w:p>
    <w:p>
      <w:pPr>
        <w:pStyle w:val="4"/>
      </w:pPr>
      <w:r>
        <w:t>9.6</w:t>
      </w:r>
      <w:r>
        <w:rPr>
          <w:rFonts w:hint="eastAsia"/>
        </w:rPr>
        <w:t>网络</w:t>
      </w:r>
      <w:r>
        <w:t>信息安全与保密</w:t>
      </w:r>
    </w:p>
    <w:p>
      <w:pPr>
        <w:ind w:firstLine="480" w:firstLineChars="200"/>
        <w:rPr>
          <w:rFonts w:ascii="宋体" w:hAnsi="宋体"/>
          <w:b/>
          <w:color w:val="000000"/>
          <w:sz w:val="28"/>
          <w:szCs w:val="28"/>
        </w:rPr>
      </w:pPr>
      <w:r>
        <w:rPr>
          <w:rFonts w:hint="eastAsia"/>
        </w:rPr>
        <w:t>运维服务商应加强信息安全管理，建立和落实信息安全责任制，对采购人的保密信息严格保密。采购人的保密信息包括：本项目维护服务内容及因本项目而接触到的采购人的各类技术类信息、管理类信息、知识产权类信息及其他不宜外泄的信息等。</w:t>
      </w:r>
    </w:p>
    <w:p>
      <w:pPr>
        <w:pStyle w:val="9"/>
        <w:widowControl/>
        <w:spacing w:before="75" w:beforeAutospacing="0" w:after="75" w:afterAutospacing="0" w:line="480" w:lineRule="exact"/>
        <w:outlineLvl w:val="1"/>
        <w:rPr>
          <w:rFonts w:ascii="宋体" w:hAnsi="宋体"/>
          <w:b/>
          <w:color w:val="000000"/>
          <w:sz w:val="28"/>
          <w:szCs w:val="28"/>
        </w:rPr>
      </w:pPr>
      <w:r>
        <w:rPr>
          <w:rFonts w:hint="eastAsia" w:ascii="宋体" w:hAnsi="宋体"/>
          <w:b/>
          <w:color w:val="000000"/>
          <w:sz w:val="28"/>
          <w:szCs w:val="28"/>
        </w:rPr>
        <w:t>（二）品目号1-2 等保测评服务</w:t>
      </w:r>
    </w:p>
    <w:p>
      <w:pPr>
        <w:pStyle w:val="9"/>
        <w:widowControl/>
        <w:spacing w:before="75" w:beforeAutospacing="0" w:after="75" w:afterAutospacing="0" w:line="480" w:lineRule="exact"/>
        <w:ind w:firstLine="420" w:firstLineChars="175"/>
        <w:rPr>
          <w:rFonts w:ascii="宋体" w:hAnsi="宋体" w:cs="宋体"/>
        </w:rPr>
      </w:pPr>
      <w:r>
        <w:rPr>
          <w:rFonts w:hint="eastAsia" w:ascii="宋体" w:hAnsi="宋体" w:cs="宋体"/>
        </w:rPr>
        <w:t>1、对省市场监管局</w:t>
      </w:r>
      <w:r>
        <w:rPr>
          <w:rFonts w:hint="eastAsia" w:ascii="宋体" w:hAnsi="宋体" w:cs="宋体"/>
          <w:lang w:val="en-US" w:eastAsia="zh-CN"/>
        </w:rPr>
        <w:t>网</w:t>
      </w:r>
      <w:r>
        <w:rPr>
          <w:rFonts w:hint="eastAsia" w:ascii="宋体" w:hAnsi="宋体" w:cs="宋体"/>
        </w:rPr>
        <w:t>站进行3级等保安全测评，对综合业务系统进行2级等保安全测评。</w:t>
      </w:r>
    </w:p>
    <w:p>
      <w:pPr>
        <w:pStyle w:val="9"/>
        <w:widowControl/>
        <w:spacing w:before="75" w:beforeAutospacing="0" w:after="75" w:afterAutospacing="0" w:line="480" w:lineRule="exact"/>
        <w:ind w:firstLine="420" w:firstLineChars="175"/>
        <w:rPr>
          <w:rFonts w:ascii="宋体" w:hAnsi="宋体" w:cs="宋体"/>
        </w:rPr>
      </w:pPr>
      <w:r>
        <w:rPr>
          <w:rFonts w:hint="eastAsia" w:ascii="宋体" w:hAnsi="宋体" w:cs="宋体"/>
        </w:rPr>
        <w:t>2、对测评结果出具正式的报告。</w:t>
      </w:r>
    </w:p>
    <w:p>
      <w:pPr>
        <w:pStyle w:val="9"/>
        <w:widowControl/>
        <w:spacing w:before="75" w:beforeAutospacing="0" w:after="75" w:afterAutospacing="0" w:line="480" w:lineRule="exact"/>
        <w:ind w:firstLine="420" w:firstLineChars="175"/>
        <w:rPr>
          <w:rFonts w:ascii="宋体" w:hAnsi="宋体" w:cs="宋体"/>
        </w:rPr>
      </w:pPr>
      <w:r>
        <w:rPr>
          <w:rFonts w:hint="eastAsia" w:ascii="宋体" w:hAnsi="宋体" w:cs="宋体"/>
        </w:rPr>
        <w:t>3、指导系统建设单位对测评中发现的安全问题进行整改，并在整改结束后进行复测。</w:t>
      </w:r>
    </w:p>
    <w:p>
      <w:pPr>
        <w:pStyle w:val="9"/>
        <w:widowControl/>
        <w:spacing w:before="75" w:beforeAutospacing="0" w:after="75" w:afterAutospacing="0" w:line="480" w:lineRule="exact"/>
        <w:ind w:firstLine="420" w:firstLineChars="175"/>
        <w:rPr>
          <w:rFonts w:ascii="宋体" w:hAnsi="宋体" w:cs="宋体"/>
          <w:b/>
          <w:bCs/>
        </w:rPr>
      </w:pPr>
      <w:r>
        <w:rPr>
          <w:rFonts w:hint="eastAsia" w:ascii="宋体" w:hAnsi="宋体" w:cs="宋体"/>
        </w:rPr>
        <w:t>4、测评单位具备承当信息系统安全等级保护测评的能力</w:t>
      </w:r>
      <w:bookmarkStart w:id="0" w:name="_GoBack"/>
      <w:bookmarkEnd w:id="0"/>
      <w:r>
        <w:rPr>
          <w:rFonts w:hint="eastAsia" w:ascii="宋体" w:hAnsi="宋体" w:cs="宋体"/>
        </w:rPr>
        <w:t>。</w:t>
      </w:r>
    </w:p>
    <w:p>
      <w:pPr>
        <w:pStyle w:val="9"/>
        <w:widowControl/>
        <w:spacing w:before="75" w:beforeAutospacing="0" w:after="75" w:afterAutospacing="0" w:line="480" w:lineRule="exact"/>
        <w:outlineLvl w:val="1"/>
        <w:rPr>
          <w:rFonts w:ascii="宋体" w:hAnsi="宋体"/>
          <w:b/>
          <w:color w:val="000000"/>
          <w:sz w:val="28"/>
          <w:szCs w:val="28"/>
        </w:rPr>
      </w:pPr>
      <w:r>
        <w:rPr>
          <w:rFonts w:hint="eastAsia" w:ascii="宋体" w:hAnsi="宋体"/>
          <w:b/>
          <w:color w:val="000000"/>
          <w:sz w:val="28"/>
          <w:szCs w:val="28"/>
        </w:rPr>
        <w:t>（三）品目号1-3 内容监测服务</w:t>
      </w:r>
    </w:p>
    <w:p>
      <w:pPr>
        <w:pStyle w:val="9"/>
        <w:widowControl/>
        <w:spacing w:before="0" w:beforeAutospacing="0" w:after="0" w:afterAutospacing="0" w:line="555" w:lineRule="atLeast"/>
        <w:ind w:firstLine="480"/>
        <w:jc w:val="both"/>
        <w:rPr>
          <w:rStyle w:val="12"/>
          <w:rFonts w:ascii="宋体" w:hAnsi="宋体" w:cs="宋体"/>
          <w:color w:val="000000"/>
          <w:sz w:val="27"/>
          <w:szCs w:val="27"/>
        </w:rPr>
      </w:pPr>
      <w:r>
        <w:rPr>
          <w:rFonts w:hint="eastAsia" w:ascii="宋体" w:hAnsi="宋体" w:cs="宋体"/>
          <w:color w:val="000000"/>
          <w:szCs w:val="24"/>
        </w:rPr>
        <w:t>服务内容：为2021年省市场监管局网站内容监测服务。服务期：合同签订之日起1年。</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Style w:val="12"/>
          <w:rFonts w:hint="eastAsia" w:ascii="宋体" w:hAnsi="宋体" w:cs="宋体"/>
          <w:color w:val="000000"/>
          <w:sz w:val="27"/>
          <w:szCs w:val="27"/>
        </w:rPr>
        <w:t>1、网站常态化检测服务要求</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1）网站首页栏目更新状况检测服务</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每2周一次对网站首页进行更新量检测，如发现首页信息更新总量未达到国务院办公厅检查标准的（监测2周，首页栏目无信息更新的），则出具网站栏目更新检测报告，协助网站管理人员整改。</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2）基本栏目信息更新状况检测服务</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对网站的各栏目进行更新量检测，如发现某一栏目未达到国务院办公厅检查标准的（监测时间点前2周内的动态、要闻类栏目，监测时间点前6个月内的通知公告、政策文件类栏目，监测时间点前1年内的人事、规划计划类栏目，累计超过5个未更新；网站中应更新但长期未更新的栏目数超过10个；空白栏目数量超过5个），则出具网站栏目更新检测报告，协助网站管理人员进行整改。</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3）网站互动回应情况检测服务</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政务咨询类栏目，主要检测渠道建设情况、栏目使用情况，如发现未达到国务院办公厅检查标准的（监测时间点前1年内，对网民留言应及时答复处理存在超过3个月未回应有效留言的现象），则出具网站栏目更新检测报告，协助网站管理人员进行整改。</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调查征集类栏目，开设了栏目，但栏目不可用或监测时间点前1年内未开展调查征集活动；开设了栏目且监测时间点前1年内开展了调查征集活动，但开展次数较少的（少于3次），出具网站栏目更新检测报告，协助网站管理人员进行整改。</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互动访谈类栏目，开设了栏目，但栏目不可用或监测时间点前1年内未开展互动访谈活动的；开设了栏目且监测时间点前1年内开展了互动访谈活动，但开展次数较少的（少于3次），出具网站栏目更新检测报告，协助网站管理人员进行整改。</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4）网站服务实用情况检测服务</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办事指南：办事指南要素类别是否缺失（要素类别包括事项名 称、设定依据、申请条件、办理材料、办理地点、办理机构、收费标准、办理时间、联系电话、办理流程等）；办事指南要素内容是否准确。</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附件下载：办事指南中提及的表格和附件是否提供下载；办事表格、文件附件等是否无法下载。</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在线系统：在线申报或查询系统是否能访问。</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如发现未达到国务院办公厅检查标准的，则出具网站服务实用情况检测报告，协助网站管理人员进行整改。</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5）网站严重错误检测服务</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检测内容包括：党和国家领导人姓名写错、虚假或伪造内容、不规范用词、使用法律法规中明令禁止的词语，以及反动、暴力、色情等内容，形成严重错误检测报告，协助网站管理人员进行错误定位和修改。</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6）网站无效附件下载检测服务</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对网站首页、各级栏目、文章页面中的附件文件（包括不仅限于pdf、doc、xls、txt、jpg等）进行检测，如发现网站页面中存在无法下载的附件，则形成检测报告，并协助网站管理人员进行定位和修改。</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7）网站在线系统可用性检测服务</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对网站全年全天7*24小时不休的对网站各类在线系统进行监测，一旦发现某一在线系统不可访问、系统故障，则立即通过电话、短信、邮件向网站管理人员告警，第一时间处置问题，降低负面影响。</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8）政府网站检查指标评分服务</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对网站检查指标结果进行评分，评分标准参 考政府网站检查指标。</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Style w:val="12"/>
          <w:rFonts w:hint="eastAsia" w:ascii="宋体" w:hAnsi="宋体" w:cs="宋体"/>
          <w:color w:val="000000"/>
          <w:sz w:val="27"/>
          <w:szCs w:val="27"/>
        </w:rPr>
        <w:t>2、网站涉密涉敏信息检测服务要求</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对网站进行内控信息的扫描，例如军队番号、带密级文件和信息、个人隐私、敏感的统计数据等，一旦发现某篇文章中存在泄露机密及落马人员的敏感词汇，人工确认后，则立即通过电话、短信、邮件向网站管理人员告警，第一时间处置问题，降低负面影响。按照实际需求安排专项扫描检测，形成相关报告，并以电子邮件方式报送。</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Style w:val="12"/>
          <w:rFonts w:hint="eastAsia" w:ascii="宋体" w:hAnsi="宋体" w:cs="宋体"/>
          <w:color w:val="000000"/>
          <w:sz w:val="27"/>
          <w:szCs w:val="27"/>
        </w:rPr>
        <w:t>3、网站7*24小时值班告警监测服务要求</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1）软件诊断检测服务</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实时监测内容包含并不仅限于以下方面：网站首页及各级栏目无法访问、字节突变、显示异常、断链，所有文章中有出现敏感信息、重大错误、附件链接失效的，网站被存在暗链、伪链、篡改等，当诊断监测软件发现以上问题时立即进行故障确认，通过电话、邮箱、手机短信等方式推送告警信息通知相关负责人员，协助网站管理人员进行定位及整改到位。</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2）网站被篡改监测第一时间告警</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网站被篡改监测服务应采用两级频率扫描。高频扫描负责扫描网站重点栏目重点页面，拟定扫描频率为3分钟扫描一次。低频扫描负责扫描网站全部页面，拟定扫描频率为10分钟扫描一次。</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3）断网告警人工审核服务</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7*24 小时值班，值班人员负责接收由来自诊断监测系统发来的告警信息，并登录到网站上进行核实，如果情况属实则立即通知相关负责人员。告警方式主要有电话、短信、邮件等方式。</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4）人工巡检监测服务：</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除了诊断监测软件对网站进行7*24 小时实时监测外，还对网站进行定期人工巡检。至少每两个小时巡检一次。</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5）值班读网告警方式</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网站被篡改页面变形与异常断链等重大问题，电话、短信、邮件、微信第一时间告警。</w:t>
      </w:r>
    </w:p>
    <w:p>
      <w:pPr>
        <w:pStyle w:val="9"/>
        <w:widowControl/>
        <w:spacing w:before="0" w:beforeAutospacing="0" w:after="0" w:afterAutospacing="0" w:line="555" w:lineRule="atLeast"/>
        <w:ind w:firstLine="480"/>
        <w:jc w:val="both"/>
        <w:rPr>
          <w:rFonts w:ascii="微软雅黑" w:hAnsi="微软雅黑" w:eastAsia="微软雅黑" w:cs="微软雅黑"/>
          <w:color w:val="000000"/>
          <w:sz w:val="27"/>
          <w:szCs w:val="27"/>
        </w:rPr>
      </w:pPr>
      <w:r>
        <w:rPr>
          <w:rFonts w:hint="eastAsia" w:ascii="宋体" w:hAnsi="宋体" w:cs="宋体"/>
          <w:color w:val="000000"/>
          <w:szCs w:val="24"/>
        </w:rPr>
        <w:t>6）出具检测报告服务</w:t>
      </w:r>
    </w:p>
    <w:p>
      <w:pPr>
        <w:pStyle w:val="9"/>
        <w:widowControl/>
        <w:spacing w:line="555" w:lineRule="atLeast"/>
        <w:ind w:firstLine="480"/>
        <w:rPr>
          <w:rFonts w:ascii="微软雅黑" w:hAnsi="微软雅黑" w:eastAsia="微软雅黑" w:cs="微软雅黑"/>
          <w:color w:val="000000"/>
          <w:sz w:val="27"/>
          <w:szCs w:val="27"/>
        </w:rPr>
      </w:pPr>
      <w:r>
        <w:rPr>
          <w:rFonts w:hint="eastAsia" w:ascii="宋体" w:hAnsi="宋体" w:cs="宋体"/>
          <w:color w:val="000000"/>
          <w:szCs w:val="24"/>
        </w:rPr>
        <w:t>每月提供一次全站全面检测，出具书面网站全站检测报告，并且协助网站管理人员进行定位整改。检测报告至少包含网站有关政府网站检查内容、网站重大错误及错别字检测报告、网站无效链接、暗链伪链检测报告、检查评分等内容。</w:t>
      </w:r>
    </w:p>
    <w:p>
      <w:pPr>
        <w:pStyle w:val="9"/>
        <w:widowControl/>
        <w:spacing w:line="555" w:lineRule="atLeast"/>
        <w:ind w:firstLine="480"/>
        <w:rPr>
          <w:rFonts w:ascii="微软雅黑" w:hAnsi="微软雅黑" w:eastAsia="微软雅黑" w:cs="微软雅黑"/>
          <w:color w:val="000000"/>
          <w:sz w:val="27"/>
          <w:szCs w:val="27"/>
        </w:rPr>
      </w:pPr>
      <w:r>
        <w:rPr>
          <w:rStyle w:val="12"/>
          <w:rFonts w:hint="eastAsia" w:ascii="宋体" w:hAnsi="宋体" w:cs="宋体"/>
          <w:color w:val="000000"/>
          <w:szCs w:val="24"/>
        </w:rPr>
        <w:t>4、其他服务要求</w:t>
      </w:r>
    </w:p>
    <w:p>
      <w:pPr>
        <w:pStyle w:val="9"/>
        <w:widowControl/>
        <w:spacing w:line="555" w:lineRule="atLeast"/>
        <w:ind w:firstLine="480"/>
        <w:rPr>
          <w:rFonts w:ascii="微软雅黑" w:hAnsi="微软雅黑" w:eastAsia="微软雅黑" w:cs="微软雅黑"/>
          <w:color w:val="000000"/>
          <w:sz w:val="27"/>
          <w:szCs w:val="27"/>
        </w:rPr>
      </w:pPr>
      <w:r>
        <w:rPr>
          <w:rFonts w:hint="eastAsia" w:ascii="宋体" w:hAnsi="宋体" w:cs="宋体"/>
          <w:color w:val="000000"/>
          <w:szCs w:val="24"/>
          <w:lang w:val="en-US" w:eastAsia="zh-CN"/>
        </w:rPr>
        <w:t>1</w:t>
      </w:r>
      <w:r>
        <w:rPr>
          <w:rFonts w:hint="eastAsia" w:ascii="宋体" w:hAnsi="宋体" w:cs="宋体"/>
          <w:color w:val="000000"/>
          <w:szCs w:val="24"/>
        </w:rPr>
        <w:t>）在服务期间中标人须根据采购人的实际工作需要，安排专项扫描检测，形成正式报告（需盖章），并以电子邮件方式报送给采购人。</w:t>
      </w:r>
    </w:p>
    <w:p>
      <w:pPr>
        <w:pStyle w:val="9"/>
        <w:widowControl/>
        <w:ind w:firstLine="480" w:firstLineChars="200"/>
        <w:rPr>
          <w:rFonts w:ascii="微软雅黑" w:hAnsi="微软雅黑" w:eastAsia="微软雅黑" w:cs="微软雅黑"/>
          <w:color w:val="000000"/>
          <w:sz w:val="27"/>
          <w:szCs w:val="27"/>
        </w:rPr>
      </w:pPr>
      <w:r>
        <w:rPr>
          <w:rFonts w:hint="eastAsia" w:ascii="宋体" w:hAnsi="宋体" w:cs="宋体"/>
          <w:color w:val="000000"/>
          <w:szCs w:val="24"/>
          <w:lang w:val="en-US" w:eastAsia="zh-CN"/>
        </w:rPr>
        <w:t>2</w:t>
      </w:r>
      <w:r>
        <w:rPr>
          <w:rFonts w:hint="eastAsia" w:ascii="宋体" w:hAnsi="宋体" w:cs="宋体"/>
          <w:color w:val="000000"/>
          <w:szCs w:val="24"/>
        </w:rPr>
        <w:t>）网站内容监测服务应严格按照国务院办公厅检查标准，全面、及时、有效。在服务期间中标人如因服务失误导致网站被相关部门通报存在问题的，每次扣减</w:t>
      </w:r>
      <w:r>
        <w:rPr>
          <w:rFonts w:hint="eastAsia" w:ascii="宋体" w:hAnsi="宋体" w:cs="宋体"/>
          <w:color w:val="000000"/>
          <w:szCs w:val="24"/>
          <w:lang w:val="en-US" w:eastAsia="zh-CN"/>
        </w:rPr>
        <w:t>本品目金</w:t>
      </w:r>
      <w:r>
        <w:rPr>
          <w:rFonts w:hint="eastAsia" w:ascii="宋体" w:hAnsi="宋体" w:cs="宋体"/>
          <w:color w:val="000000"/>
          <w:szCs w:val="24"/>
        </w:rPr>
        <w:t>额的10%款项。超过3次及以上采购人有权单方面终止</w:t>
      </w:r>
      <w:r>
        <w:rPr>
          <w:rFonts w:hint="eastAsia" w:ascii="宋体" w:hAnsi="宋体" w:cs="宋体"/>
          <w:color w:val="000000"/>
          <w:szCs w:val="24"/>
          <w:lang w:val="en-US" w:eastAsia="zh-CN"/>
        </w:rPr>
        <w:t>本品目的服务</w:t>
      </w:r>
      <w:r>
        <w:rPr>
          <w:rFonts w:hint="eastAsia" w:ascii="宋体" w:hAnsi="宋体" w:cs="宋体"/>
          <w:color w:val="000000"/>
          <w:szCs w:val="24"/>
        </w:rPr>
        <w:t>。</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9395838"/>
    </w:sdtPr>
    <w:sdtContent>
      <w:p>
        <w:pPr>
          <w:pStyle w:val="6"/>
          <w:jc w:val="center"/>
        </w:pPr>
        <w:r>
          <w:fldChar w:fldCharType="begin"/>
        </w:r>
        <w:r>
          <w:instrText xml:space="preserve">PAGE   \* MERGEFORMAT</w:instrText>
        </w:r>
        <w:r>
          <w:fldChar w:fldCharType="separate"/>
        </w:r>
        <w:r>
          <w:rPr>
            <w:lang w:val="zh-CN"/>
          </w:rPr>
          <w:t>3</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24"/>
    <w:rsid w:val="00023CE7"/>
    <w:rsid w:val="000F5138"/>
    <w:rsid w:val="0011409A"/>
    <w:rsid w:val="001634D2"/>
    <w:rsid w:val="001A4768"/>
    <w:rsid w:val="002A6D6D"/>
    <w:rsid w:val="002E4F3F"/>
    <w:rsid w:val="00347BC9"/>
    <w:rsid w:val="004D669C"/>
    <w:rsid w:val="00553924"/>
    <w:rsid w:val="005737D5"/>
    <w:rsid w:val="005E2F40"/>
    <w:rsid w:val="006447D6"/>
    <w:rsid w:val="006545FB"/>
    <w:rsid w:val="0067133E"/>
    <w:rsid w:val="0069675D"/>
    <w:rsid w:val="007362DE"/>
    <w:rsid w:val="007D3726"/>
    <w:rsid w:val="00896032"/>
    <w:rsid w:val="00C31B4E"/>
    <w:rsid w:val="00C96819"/>
    <w:rsid w:val="00CF1F2B"/>
    <w:rsid w:val="00DA21AF"/>
    <w:rsid w:val="00E5003B"/>
    <w:rsid w:val="00E53DC7"/>
    <w:rsid w:val="00F058B7"/>
    <w:rsid w:val="00F53E7D"/>
    <w:rsid w:val="1CA56FEB"/>
    <w:rsid w:val="208B4F58"/>
    <w:rsid w:val="28532568"/>
    <w:rsid w:val="31E93CB4"/>
    <w:rsid w:val="31FB7CFC"/>
    <w:rsid w:val="33584D06"/>
    <w:rsid w:val="36864687"/>
    <w:rsid w:val="38FF2356"/>
    <w:rsid w:val="3B907973"/>
    <w:rsid w:val="3E7E3829"/>
    <w:rsid w:val="41575A53"/>
    <w:rsid w:val="426B6079"/>
    <w:rsid w:val="55C43EBB"/>
    <w:rsid w:val="5C2D7D57"/>
    <w:rsid w:val="6D235C4B"/>
    <w:rsid w:val="6DE85738"/>
    <w:rsid w:val="6E0A51C2"/>
    <w:rsid w:val="6F3C22D0"/>
    <w:rsid w:val="73762DE7"/>
    <w:rsid w:val="73D84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qFormat/>
    <w:uiPriority w:val="0"/>
    <w:rPr>
      <w:rFonts w:ascii="宋体" w:hAnsi="Courier New"/>
      <w:szCs w:val="20"/>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7"/>
    <w:qFormat/>
    <w:uiPriority w:val="11"/>
    <w:pPr>
      <w:spacing w:before="240" w:after="60" w:line="312" w:lineRule="auto"/>
      <w:jc w:val="center"/>
      <w:outlineLvl w:val="1"/>
    </w:pPr>
    <w:rPr>
      <w:rFonts w:eastAsiaTheme="minorEastAsia"/>
      <w:b/>
      <w:bCs/>
      <w:kern w:val="28"/>
      <w:sz w:val="32"/>
      <w:szCs w:val="32"/>
    </w:rPr>
  </w:style>
  <w:style w:type="paragraph" w:styleId="9">
    <w:name w:val="Normal (Web)"/>
    <w:basedOn w:val="1"/>
    <w:qFormat/>
    <w:uiPriority w:val="0"/>
    <w:pPr>
      <w:spacing w:before="100" w:beforeAutospacing="1" w:after="100" w:afterAutospacing="1"/>
      <w:jc w:val="left"/>
    </w:pPr>
    <w:rPr>
      <w:kern w:val="0"/>
    </w:rPr>
  </w:style>
  <w:style w:type="paragraph" w:styleId="10">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character" w:styleId="12">
    <w:name w:val="Strong"/>
    <w:basedOn w:val="11"/>
    <w:qFormat/>
    <w:uiPriority w:val="22"/>
    <w:rPr>
      <w:b/>
    </w:rPr>
  </w:style>
  <w:style w:type="paragraph" w:styleId="14">
    <w:name w:val="List Paragraph"/>
    <w:basedOn w:val="1"/>
    <w:qFormat/>
    <w:uiPriority w:val="34"/>
    <w:pPr>
      <w:ind w:firstLine="420" w:firstLineChars="200"/>
    </w:p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副标题 字符"/>
    <w:basedOn w:val="11"/>
    <w:link w:val="8"/>
    <w:qFormat/>
    <w:uiPriority w:val="11"/>
    <w:rPr>
      <w:b/>
      <w:bCs/>
      <w:kern w:val="28"/>
      <w:sz w:val="32"/>
      <w:szCs w:val="32"/>
    </w:rPr>
  </w:style>
  <w:style w:type="character" w:customStyle="1" w:styleId="18">
    <w:name w:val="标题 字符"/>
    <w:basedOn w:val="11"/>
    <w:link w:val="10"/>
    <w:qFormat/>
    <w:uiPriority w:val="10"/>
    <w:rPr>
      <w:rFonts w:asciiTheme="majorHAnsi" w:hAnsiTheme="majorHAnsi" w:eastAsiaTheme="majorEastAsia" w:cstheme="majorBidi"/>
      <w:b/>
      <w:bCs/>
      <w:sz w:val="32"/>
      <w:szCs w:val="32"/>
    </w:rPr>
  </w:style>
  <w:style w:type="character" w:customStyle="1" w:styleId="19">
    <w:name w:val="标题 2 字符"/>
    <w:basedOn w:val="11"/>
    <w:link w:val="3"/>
    <w:qFormat/>
    <w:uiPriority w:val="9"/>
    <w:rPr>
      <w:rFonts w:asciiTheme="majorHAnsi" w:hAnsiTheme="majorHAnsi" w:eastAsiaTheme="majorEastAsia" w:cstheme="majorBidi"/>
      <w:b/>
      <w:bCs/>
      <w:sz w:val="32"/>
      <w:szCs w:val="32"/>
    </w:rPr>
  </w:style>
  <w:style w:type="character" w:customStyle="1" w:styleId="20">
    <w:name w:val="标题 3 字符"/>
    <w:basedOn w:val="11"/>
    <w:link w:val="4"/>
    <w:qFormat/>
    <w:uiPriority w:val="9"/>
    <w:rPr>
      <w:rFonts w:eastAsia="宋体"/>
      <w:b/>
      <w:bCs/>
      <w:sz w:val="32"/>
      <w:szCs w:val="32"/>
    </w:rPr>
  </w:style>
  <w:style w:type="character" w:customStyle="1" w:styleId="21">
    <w:name w:val="标题 1 字符"/>
    <w:basedOn w:val="11"/>
    <w:link w:val="2"/>
    <w:qFormat/>
    <w:uiPriority w:val="9"/>
    <w:rPr>
      <w:rFonts w:eastAsia="宋体"/>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853</Words>
  <Characters>4864</Characters>
  <Lines>40</Lines>
  <Paragraphs>11</Paragraphs>
  <TotalTime>7</TotalTime>
  <ScaleCrop>false</ScaleCrop>
  <LinksUpToDate>false</LinksUpToDate>
  <CharactersWithSpaces>5706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2021-08-10T13:13:00Z</dcterms:created>
  <dc:creator>admin</dc:creator>
  <cp:lastModifiedBy>林昕</cp:lastModifiedBy>
  <dcterms:modified xsi:type="dcterms:W3CDTF">2021-08-19T00:31:30Z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