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p>
    <w:p>
      <w:pPr>
        <w:jc w:val="center"/>
        <w:rPr>
          <w:rFonts w:ascii="仿宋" w:hAnsi="仿宋" w:eastAsia="仿宋"/>
          <w:b/>
          <w:sz w:val="72"/>
          <w:szCs w:val="72"/>
        </w:rPr>
      </w:pPr>
      <w:r>
        <w:rPr>
          <w:rFonts w:hint="eastAsia" w:ascii="仿宋" w:hAnsi="仿宋" w:eastAsia="仿宋"/>
          <w:b/>
          <w:sz w:val="72"/>
          <w:szCs w:val="72"/>
        </w:rPr>
        <w:t>福建省市场监督管理局</w:t>
      </w:r>
    </w:p>
    <w:p>
      <w:pPr>
        <w:jc w:val="center"/>
        <w:rPr>
          <w:rFonts w:ascii="仿宋" w:hAnsi="仿宋" w:eastAsia="仿宋"/>
          <w:b/>
          <w:sz w:val="72"/>
          <w:szCs w:val="72"/>
        </w:rPr>
      </w:pPr>
      <w:r>
        <w:rPr>
          <w:rFonts w:hint="eastAsia" w:ascii="仿宋" w:hAnsi="仿宋" w:eastAsia="仿宋"/>
          <w:b/>
          <w:sz w:val="72"/>
          <w:szCs w:val="72"/>
        </w:rPr>
        <w:t>企业档案电子化综合管理系统运维项目</w:t>
      </w:r>
    </w:p>
    <w:p>
      <w:pPr>
        <w:spacing w:line="360" w:lineRule="auto"/>
        <w:jc w:val="center"/>
        <w:rPr>
          <w:rFonts w:ascii="Times New Roman" w:hAnsi="Times New Roman" w:eastAsia="仿宋" w:cs="Times New Roman"/>
          <w:b/>
          <w:sz w:val="44"/>
          <w:szCs w:val="44"/>
        </w:rPr>
      </w:pPr>
    </w:p>
    <w:p>
      <w:pPr>
        <w:spacing w:line="360" w:lineRule="auto"/>
        <w:jc w:val="center"/>
        <w:rPr>
          <w:rFonts w:ascii="Times New Roman" w:hAnsi="Times New Roman" w:eastAsia="仿宋" w:cs="Times New Roman"/>
          <w:b/>
          <w:sz w:val="44"/>
          <w:szCs w:val="44"/>
        </w:rPr>
      </w:pPr>
    </w:p>
    <w:p>
      <w:pPr>
        <w:spacing w:line="360" w:lineRule="auto"/>
        <w:jc w:val="center"/>
        <w:rPr>
          <w:rFonts w:ascii="Times New Roman" w:hAnsi="Times New Roman" w:eastAsia="仿宋" w:cs="Times New Roman"/>
          <w:b/>
          <w:sz w:val="44"/>
          <w:szCs w:val="44"/>
        </w:rPr>
      </w:pPr>
    </w:p>
    <w:p>
      <w:pPr>
        <w:jc w:val="center"/>
        <w:rPr>
          <w:rFonts w:ascii="Times New Roman" w:hAnsi="Times New Roman" w:eastAsia="仿宋" w:cs="Times New Roman"/>
          <w:b/>
          <w:sz w:val="84"/>
          <w:szCs w:val="84"/>
        </w:rPr>
      </w:pPr>
      <w:r>
        <w:rPr>
          <w:rFonts w:hint="eastAsia" w:ascii="Times New Roman" w:hAnsi="Times New Roman" w:eastAsia="仿宋" w:cs="Times New Roman"/>
          <w:b/>
          <w:sz w:val="84"/>
          <w:szCs w:val="84"/>
          <w:lang w:eastAsia="zh-CN"/>
        </w:rPr>
        <w:t>询</w:t>
      </w:r>
      <w:r>
        <w:rPr>
          <w:rFonts w:hint="eastAsia" w:ascii="Times New Roman" w:hAnsi="Times New Roman" w:eastAsia="仿宋" w:cs="Times New Roman"/>
          <w:b/>
          <w:sz w:val="84"/>
          <w:szCs w:val="84"/>
          <w:lang w:val="en-US" w:eastAsia="zh-CN"/>
        </w:rPr>
        <w:t xml:space="preserve"> </w:t>
      </w:r>
      <w:r>
        <w:rPr>
          <w:rFonts w:hint="eastAsia" w:ascii="Times New Roman" w:hAnsi="Times New Roman" w:eastAsia="仿宋" w:cs="Times New Roman"/>
          <w:b/>
          <w:sz w:val="84"/>
          <w:szCs w:val="84"/>
          <w:lang w:eastAsia="zh-CN"/>
        </w:rPr>
        <w:t>价</w:t>
      </w:r>
      <w:r>
        <w:rPr>
          <w:rFonts w:hint="eastAsia" w:ascii="Times New Roman" w:hAnsi="Times New Roman" w:eastAsia="仿宋" w:cs="Times New Roman"/>
          <w:b/>
          <w:sz w:val="84"/>
          <w:szCs w:val="84"/>
          <w:lang w:val="en-US" w:eastAsia="zh-CN"/>
        </w:rPr>
        <w:t xml:space="preserve"> </w:t>
      </w:r>
      <w:r>
        <w:rPr>
          <w:rFonts w:ascii="Times New Roman" w:hAnsi="Times New Roman" w:eastAsia="仿宋" w:cs="Times New Roman"/>
          <w:b/>
          <w:sz w:val="84"/>
          <w:szCs w:val="84"/>
        </w:rPr>
        <w:t>比 选 文 件</w:t>
      </w:r>
    </w:p>
    <w:p>
      <w:pPr>
        <w:spacing w:line="360" w:lineRule="auto"/>
        <w:jc w:val="center"/>
        <w:rPr>
          <w:rFonts w:ascii="Times New Roman" w:hAnsi="Times New Roman" w:eastAsia="仿宋" w:cs="Times New Roman"/>
          <w:b/>
          <w:sz w:val="44"/>
          <w:szCs w:val="44"/>
        </w:rPr>
      </w:pPr>
    </w:p>
    <w:p>
      <w:pPr>
        <w:spacing w:line="360" w:lineRule="auto"/>
        <w:jc w:val="center"/>
        <w:rPr>
          <w:rFonts w:ascii="Times New Roman" w:hAnsi="Times New Roman" w:eastAsia="仿宋" w:cs="Times New Roman"/>
          <w:b/>
          <w:sz w:val="44"/>
          <w:szCs w:val="44"/>
        </w:rPr>
      </w:pPr>
    </w:p>
    <w:p>
      <w:pPr>
        <w:spacing w:line="360" w:lineRule="auto"/>
        <w:jc w:val="center"/>
        <w:rPr>
          <w:rFonts w:ascii="Times New Roman" w:hAnsi="Times New Roman" w:eastAsia="仿宋" w:cs="Times New Roman"/>
          <w:b/>
          <w:sz w:val="44"/>
          <w:szCs w:val="44"/>
        </w:rPr>
      </w:pPr>
    </w:p>
    <w:p>
      <w:pPr>
        <w:spacing w:line="360" w:lineRule="auto"/>
        <w:jc w:val="center"/>
        <w:rPr>
          <w:rFonts w:ascii="Times New Roman" w:hAnsi="Times New Roman" w:eastAsia="仿宋" w:cs="Times New Roman"/>
          <w:b/>
          <w:sz w:val="44"/>
          <w:szCs w:val="44"/>
        </w:rPr>
      </w:pPr>
      <w:bookmarkStart w:id="0" w:name="_GoBack"/>
      <w:bookmarkEnd w:id="0"/>
    </w:p>
    <w:p>
      <w:pPr>
        <w:spacing w:line="360" w:lineRule="auto"/>
        <w:jc w:val="center"/>
        <w:rPr>
          <w:rFonts w:ascii="Times New Roman" w:hAnsi="Times New Roman" w:eastAsia="仿宋" w:cs="Times New Roman"/>
          <w:b/>
          <w:sz w:val="44"/>
          <w:szCs w:val="44"/>
        </w:rPr>
      </w:pPr>
    </w:p>
    <w:p>
      <w:pPr>
        <w:spacing w:line="360" w:lineRule="auto"/>
        <w:jc w:val="center"/>
        <w:rPr>
          <w:rFonts w:ascii="Times New Roman" w:hAnsi="Times New Roman" w:eastAsia="仿宋" w:cs="Times New Roman"/>
          <w:b/>
          <w:sz w:val="44"/>
          <w:szCs w:val="44"/>
        </w:rPr>
      </w:pPr>
    </w:p>
    <w:p>
      <w:pPr>
        <w:spacing w:line="360" w:lineRule="auto"/>
        <w:jc w:val="center"/>
        <w:rPr>
          <w:rFonts w:ascii="Times New Roman" w:hAnsi="Times New Roman" w:eastAsia="仿宋" w:cs="Times New Roman"/>
          <w:b/>
          <w:sz w:val="44"/>
          <w:szCs w:val="44"/>
        </w:rPr>
      </w:pPr>
    </w:p>
    <w:p>
      <w:pPr>
        <w:spacing w:line="360" w:lineRule="auto"/>
        <w:jc w:val="center"/>
        <w:rPr>
          <w:sz w:val="44"/>
          <w:szCs w:val="44"/>
        </w:rPr>
      </w:pPr>
      <w:r>
        <w:rPr>
          <w:rFonts w:ascii="Times New Roman" w:hAnsi="Times New Roman" w:eastAsia="仿宋" w:cs="Times New Roman"/>
          <w:b/>
          <w:sz w:val="44"/>
          <w:szCs w:val="44"/>
        </w:rPr>
        <w:t>采  购  人：</w:t>
      </w:r>
      <w:r>
        <w:rPr>
          <w:rFonts w:hint="eastAsia" w:ascii="Times New Roman" w:hAnsi="Times New Roman" w:eastAsia="仿宋" w:cs="Times New Roman"/>
          <w:b/>
          <w:sz w:val="44"/>
          <w:szCs w:val="44"/>
        </w:rPr>
        <w:t>福建省工商档案馆</w:t>
      </w:r>
      <w:r>
        <w:rPr>
          <w:sz w:val="44"/>
          <w:szCs w:val="44"/>
        </w:rPr>
        <w:br w:type="page"/>
      </w:r>
    </w:p>
    <w:p>
      <w:pPr>
        <w:pStyle w:val="2"/>
        <w:numPr>
          <w:ilvl w:val="0"/>
          <w:numId w:val="0"/>
        </w:numPr>
        <w:ind w:left="709" w:hanging="709"/>
        <w:jc w:val="center"/>
        <w:rPr>
          <w:szCs w:val="36"/>
        </w:rPr>
      </w:pPr>
      <w:r>
        <w:rPr>
          <w:rFonts w:hint="eastAsia"/>
          <w:szCs w:val="36"/>
        </w:rPr>
        <w:t>项目需求</w:t>
      </w:r>
    </w:p>
    <w:p>
      <w:pPr>
        <w:pStyle w:val="2"/>
        <w:rPr>
          <w:szCs w:val="36"/>
        </w:rPr>
      </w:pPr>
      <w:r>
        <w:rPr>
          <w:rFonts w:hint="eastAsia"/>
          <w:szCs w:val="36"/>
        </w:rPr>
        <w:t>项目背景</w:t>
      </w:r>
    </w:p>
    <w:p>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福建省市场监督管理局（原省工商局）于2008年完成了工商企业档案影像管理系统（以下简称档案管理系统）的建设，其业务功能覆盖了全省市场主体注 册登记档案的信息化建设及资源共享利用所需的各项信息支撑服务，主要功能包括纸质档案数字化处理及电子档案查询利用管理，不仅面向广大社会公众提供了开放式的企业档案信息公共查询服务，而且为福建省市场监管全系统内部人员的业务办理提供了及时有效的信息支撑，档案的利用率与工作效率都有了明显的提高，在为广大用户提供优质全面服务的同时也取得了较好的经济效益，收到了较好的建设效果。</w:t>
      </w:r>
    </w:p>
    <w:p>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为推进“一照一码”登记制度改革和全程电子化登记管理，2017年福建省市场监督管理局（原省工商局）完成工商企业档案影像管理系统升级改造，综合采用业界先进的电子档案信息管理与系统安全技术，遵循最新的国家行业标准及“一照一码”登记制度，全新设 计开发了“企业档案电子化综合管理系统”。构建包括档案数字化加工、归档存储、查询服务、数据维护等档案工作全过程综合安全防护体系，并提供基于“一照一码”的档案数字化加工、档案综合查询服务、综合统计、系统维护管理等业务功能，提供数据完整的一体化企业档案查询服务。而且基于市场监管内网面向机关内部人员及社会大众提供更加完善的电子档案综合查询服务，进一步提高档案管理工作的效率和服务质量。</w:t>
      </w:r>
    </w:p>
    <w:p>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建立全省企业电子档案集中式数据存储中心，为统一数据标准、统一管理和应用、统一授权管理、以及网上查询服务做好档案资源库的建设工作。通过对全省企业档案电子化综合管理系统升级改造完成了全省企业档案影像数据的集中建库，增强信息能量，资源能量，实现资源共享，依托福建省市场监管智慧应用一体化平台和企业影像档案管理系统，实现信息资源一张网。</w:t>
      </w:r>
    </w:p>
    <w:p>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截至目前，系统建立的企业电子档案资源库容量达到22.5TB，管理的档案数量达到2.28亿页，近年来每年以2000万页迅猛递增。系统在全省范围内部署的扫描加工终端数量近400个，面向广大社会公众开放的档案查询公共服务窗口达到200多个，内部协同办公的终端数量达到约8000多个，形成了全省各地市工商档案信息分布式存储与管理的应用格局。目前档案管理系统已在福建全省共约130多个市、县（区）局及厦门市监所运行了多年，已经成为全省企业档案业务的重要工作平台，全省接待大量外来查询人员，使企业档案在经济活动中发挥出应有的作用。</w:t>
      </w:r>
    </w:p>
    <w:p>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企业档案电子化综合管理系统已经成为福建全省市场监管工作中不可缺少的一部分，因此必须确保系统的稳定，需要对系统提供全面的系统维护及技术支撑。</w:t>
      </w:r>
    </w:p>
    <w:p>
      <w:pPr>
        <w:pStyle w:val="2"/>
        <w:rPr>
          <w:szCs w:val="36"/>
        </w:rPr>
      </w:pPr>
      <w:r>
        <w:rPr>
          <w:rFonts w:hint="eastAsia"/>
          <w:szCs w:val="36"/>
        </w:rPr>
        <w:t>维护目标</w:t>
      </w:r>
    </w:p>
    <w:p>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保证福建全省企业档案电子化综合管理系统正常、稳定运行，在系统出现故障后，成交人在接到客户故障反馈后及时进行响应，在24个小时内排除故障或提供解决方案。</w:t>
      </w:r>
    </w:p>
    <w:p>
      <w:pPr>
        <w:pStyle w:val="2"/>
        <w:rPr>
          <w:szCs w:val="36"/>
        </w:rPr>
      </w:pPr>
      <w:r>
        <w:rPr>
          <w:rFonts w:hint="eastAsia"/>
          <w:szCs w:val="36"/>
        </w:rPr>
        <w:t>服务范围</w:t>
      </w:r>
    </w:p>
    <w:p>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在系统维护期限内，对福建省市场监督管理局企业档案电子化综合管理系统进行维护工作，维护范围包括福建省市场监督管理局及10个地市局（福州市、厦门市、漳州市、泉州市、三明市、莆田市、南平市、龙岩市、宁德市、平潭综合实验区）的企业档案电子化综合管理系统进行维护工作。</w:t>
      </w:r>
    </w:p>
    <w:p>
      <w:pPr>
        <w:pStyle w:val="2"/>
        <w:rPr>
          <w:szCs w:val="36"/>
        </w:rPr>
      </w:pPr>
      <w:r>
        <w:rPr>
          <w:rFonts w:hint="eastAsia"/>
          <w:szCs w:val="36"/>
        </w:rPr>
        <w:t>服务期限</w:t>
      </w:r>
    </w:p>
    <w:p>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自合同签订日期起至2023年7月3</w:t>
      </w:r>
      <w:r>
        <w:rPr>
          <w:rFonts w:ascii="宋体" w:hAnsi="宋体" w:cs="宋体"/>
          <w:kern w:val="0"/>
          <w:szCs w:val="24"/>
        </w:rPr>
        <w:t>1</w:t>
      </w:r>
      <w:r>
        <w:rPr>
          <w:rFonts w:hint="eastAsia" w:ascii="宋体" w:hAnsi="宋体" w:cs="宋体"/>
          <w:kern w:val="0"/>
          <w:szCs w:val="24"/>
        </w:rPr>
        <w:t>日。</w:t>
      </w:r>
    </w:p>
    <w:p>
      <w:pPr>
        <w:pStyle w:val="2"/>
        <w:rPr>
          <w:szCs w:val="36"/>
        </w:rPr>
      </w:pPr>
      <w:r>
        <w:rPr>
          <w:rFonts w:hint="eastAsia"/>
          <w:szCs w:val="36"/>
        </w:rPr>
        <w:t>服务内容</w:t>
      </w:r>
    </w:p>
    <w:p>
      <w:pPr>
        <w:widowControl/>
        <w:spacing w:before="100" w:beforeAutospacing="1" w:after="100" w:afterAutospacing="1" w:line="360" w:lineRule="atLeast"/>
        <w:ind w:firstLine="435"/>
        <w:jc w:val="left"/>
        <w:rPr>
          <w:rFonts w:ascii="宋体" w:hAnsi="宋体" w:cs="宋体"/>
          <w:kern w:val="0"/>
          <w:szCs w:val="24"/>
        </w:rPr>
      </w:pPr>
      <w:r>
        <w:rPr>
          <w:rFonts w:hint="eastAsia" w:ascii="宋体" w:hAnsi="宋体" w:cs="宋体"/>
          <w:kern w:val="0"/>
          <w:szCs w:val="24"/>
        </w:rPr>
        <w:t>运维服务内容包括：驻场技术支持、软件日常维护、数据维护服务、安装调试、定期巡检、技术培训服务、应急维护服务、软件接口维护服务、系统功能升级开发等方面。</w:t>
      </w:r>
    </w:p>
    <w:p>
      <w:pPr>
        <w:pStyle w:val="3"/>
      </w:pPr>
      <w:r>
        <w:rPr>
          <w:rFonts w:hint="eastAsia"/>
        </w:rPr>
        <w:t>驻场技术支持服务</w:t>
      </w:r>
    </w:p>
    <w:p>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成交人提供2名技术人员常驻福建省市场监督管理局现场，对福建省市场监督管理局及10个地市局企业电子档案系统进行技术维护服务工作。</w:t>
      </w:r>
    </w:p>
    <w:p>
      <w:pPr>
        <w:pStyle w:val="3"/>
      </w:pPr>
      <w:r>
        <w:rPr>
          <w:rFonts w:hint="eastAsia"/>
        </w:rPr>
        <w:t>软件日常维护服务</w:t>
      </w:r>
    </w:p>
    <w:p>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成交人对省局及10个地市局企业电子档案系统提供纠正性软件维护与预防性软件维护服务，具体工作内容是提供技术问题咨询解答，问题诊断与故障判断，纠正系统运行过程中发现的问题和潜在故障进行软件修改。</w:t>
      </w:r>
    </w:p>
    <w:p>
      <w:pPr>
        <w:pStyle w:val="3"/>
      </w:pPr>
      <w:r>
        <w:rPr>
          <w:rFonts w:hint="eastAsia"/>
        </w:rPr>
        <w:t>系统数据维护服务</w:t>
      </w:r>
    </w:p>
    <w:p>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成交人提供系统数据维护服务，具体包括企业电子档案数据迁入、迁出维护，数据同步维护，数据检错维护，数据改错维护，数据库维护。</w:t>
      </w:r>
    </w:p>
    <w:p>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3.1企业电子档案数据迁入、迁出维护：提供省局及10个地市局企业电子档案迁入、迁出维护。及时解决迁入迁出数据问题，避免出现重复数据，避免迁入企业的纸质档案被重复数字化处理。</w:t>
      </w:r>
    </w:p>
    <w:p>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3.2数据同步维护：企业电子档案数据同步维护，保障省局及10个地市局日常新增的档案数据定期同步到省局进行集中存储和管理，包括数据库索引记录和档案图像数据。</w:t>
      </w:r>
    </w:p>
    <w:p>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3.3数据检错维护：对省局及10个地市局每月进行一次例行数据检错，并针对各类检错结果进行具体问题分析和妥善处理。检错的类别包括分局已删的企业、无开业卷的企业，多卷开业的企业，多卷注销的企业，图像丢失的档案卷，图像冗余的档案卷，图像错误的档案卷，档案索引错误的档案卷，档案编号重复的档案卷，页级别错误的档案卷，档案页数不一致的档案卷，重复的企业、等待合并处理的企业、冗余数据检测等。</w:t>
      </w:r>
    </w:p>
    <w:p>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3.4数据改错维护：对于档案数据出现的一些异常错误，如多表关联数据前后不一致，某个字段值出现过长数据或特殊字符等异常情况导致无法正常提供查询利用等情况，需要维护人员及时发现并立即在后台进行纠正以保障系统稳定运行。</w:t>
      </w:r>
    </w:p>
    <w:p>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3.5数据库维护：对省局及10个地市局每月进行一次例行数据库维护。维护内容包括对系统数据库的主要数据项进行检查和性能调优；对系统数据库的日志文件及垃圾数据进行安全清理，减少由于系统数据库的大小对查询速度造成的影响；对数据库完整性进行检查；对数据库的备份进行检查等。</w:t>
      </w:r>
    </w:p>
    <w:p>
      <w:pPr>
        <w:pStyle w:val="3"/>
      </w:pPr>
      <w:r>
        <w:rPr>
          <w:rFonts w:hint="eastAsia"/>
        </w:rPr>
        <w:t>系统安装调试服务</w:t>
      </w:r>
    </w:p>
    <w:p>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对于系统由于服务器、计算机、扫描仪等设备更换、软件维护等原因而进行的应用软件系统安装与调试服务。无法远程解决的或用户提出现场服务需求的需提供现场安装调试服务。</w:t>
      </w:r>
    </w:p>
    <w:p>
      <w:pPr>
        <w:pStyle w:val="3"/>
      </w:pPr>
      <w:r>
        <w:rPr>
          <w:rFonts w:hint="eastAsia"/>
        </w:rPr>
        <w:t>系统定期巡检服务</w:t>
      </w:r>
    </w:p>
    <w:p>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每地市局每季度巡检一次，为提前发现系统及设备故障隐患，对系统故障进行预防，通过对福建全系统定期巡检，及时发现并解决存在的软件及数据问题。对于应用软件系统和数据库存在的问题及隐患及时报告客户联系相关单位解决，预防并消除隐患。</w:t>
      </w:r>
    </w:p>
    <w:p>
      <w:pPr>
        <w:pStyle w:val="3"/>
      </w:pPr>
      <w:r>
        <w:rPr>
          <w:rFonts w:hint="eastAsia"/>
        </w:rPr>
        <w:t>技术培训服务</w:t>
      </w:r>
    </w:p>
    <w:p>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在系统维护期内，在系统维护期内，对用户进行现场培训，培训内容包括软件产品的安装、使用和日常维护。重点培训用户的系统管理人员，让他们掌握日常操作和系统安装、调试、维护等操作，能够熟练操作并开展系统维护工作。</w:t>
      </w:r>
    </w:p>
    <w:p>
      <w:pPr>
        <w:pStyle w:val="3"/>
      </w:pPr>
      <w:r>
        <w:rPr>
          <w:rFonts w:hint="eastAsia"/>
        </w:rPr>
        <w:t>系统应急服务</w:t>
      </w:r>
    </w:p>
    <w:p>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提供完善的应急预案，对突发意外事件，如病毒发作造成的系统软件瘫痪、硬件原因造成的系统突发故障等，提供系统日常应急维护及节假日应急服务。</w:t>
      </w:r>
    </w:p>
    <w:p>
      <w:pPr>
        <w:pStyle w:val="3"/>
      </w:pPr>
      <w:r>
        <w:rPr>
          <w:rFonts w:hint="eastAsia"/>
        </w:rPr>
        <w:t>软件接口维护服务</w:t>
      </w:r>
    </w:p>
    <w:p>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对档案管理系统现有软件接口功能提供纠正性软件维护与预防性软件维护服务，包括与企业登记业务系统的电子文件归档接口、嵌入式图文一体化档案查询接口，涉及到系统原开发厂商所产生的一切费用由成交供应商负责承担。</w:t>
      </w:r>
    </w:p>
    <w:p>
      <w:pPr>
        <w:pStyle w:val="3"/>
      </w:pPr>
      <w:r>
        <w:rPr>
          <w:rFonts w:hint="eastAsia"/>
        </w:rPr>
        <w:t>系统功能升级开发</w:t>
      </w:r>
    </w:p>
    <w:p>
      <w:pPr>
        <w:pStyle w:val="4"/>
      </w:pPr>
      <w:r>
        <w:rPr>
          <w:rFonts w:hint="eastAsia"/>
        </w:rPr>
        <w:t>电子档案迁入迁出管理</w:t>
      </w:r>
    </w:p>
    <w:p>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（1）增加厦门市局与其他地市局迁入迁出企业类型及档案类型字段匹配。</w:t>
      </w:r>
    </w:p>
    <w:p>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2）提供针对商事登记制度改革后厦门新增的许可类档案电子文件及元数据的一体化迁出与迁入管理功能，主要用于在办理许可类纸质档案的迁移业务时，同步进行电子档案的迁移管理，避免迁入局重复扫描加工，节省人力成本，提高电子档案利用的时效性。</w:t>
      </w:r>
    </w:p>
    <w:p>
      <w:pPr>
        <w:pStyle w:val="4"/>
      </w:pPr>
      <w:r>
        <w:rPr>
          <w:rFonts w:hint="eastAsia"/>
        </w:rPr>
        <w:t>股权出质</w:t>
      </w:r>
    </w:p>
    <w:p>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增加支持股权出质类档案查询时企业登记类档案是否并列的关系。查询时可选择是查询企业登记类档案，还是查询股权出质类档案；查询条件可选择，即可选择股权登记编号、出质人、质权人、股权所在公司、股权所在公司注 册号等多索引查询模式；内部查询人权限可分配，可灵活实现对查询人分配查询浏览、打印等权限。</w:t>
      </w:r>
    </w:p>
    <w:p>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针对股权出质档案查询特殊性及敏感性，对外查询终端可进行实时屏蔽当前类型显示。</w:t>
      </w:r>
    </w:p>
    <w:p>
      <w:pPr>
        <w:pStyle w:val="4"/>
      </w:pPr>
      <w:r>
        <w:rPr>
          <w:rFonts w:hint="eastAsia"/>
        </w:rPr>
        <w:t>企业登记</w:t>
      </w:r>
    </w:p>
    <w:p>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按照一照一码业务要求，企业基本信息包括统一社会信用代码、注 册号、企业名 称、法定代表人、法定代表人身份证号、企业住所、注 册资金、企业性质、经 营范围、有效期限、注册号行业代码、开业时间、注（吊）销时间等，可根据工商业务需要进行灵活增加和定制。</w:t>
      </w:r>
    </w:p>
    <w:p>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增加企业自动查重以及企业当前管辖机关状态的定位功能，避免当前登记机关企业电子档案归档混乱。</w:t>
      </w:r>
    </w:p>
    <w:p>
      <w:pPr>
        <w:pStyle w:val="4"/>
      </w:pPr>
      <w:r>
        <w:rPr>
          <w:rFonts w:hint="eastAsia"/>
        </w:rPr>
        <w:t>图文校核</w:t>
      </w:r>
    </w:p>
    <w:p>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图文质检提供数字化加工质量管控功能，可对电子档案图像、著录及索引信息进行全面的检查、校对及纠错处理。</w:t>
      </w:r>
    </w:p>
    <w:p>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增加企业登记过程中针对通过一体化智慧平台进行注册号及企业名称复制时产生字符空格自动删除功能。</w:t>
      </w:r>
    </w:p>
    <w:p>
      <w:pPr>
        <w:pStyle w:val="4"/>
      </w:pPr>
      <w:r>
        <w:rPr>
          <w:rFonts w:hint="eastAsia"/>
        </w:rPr>
        <w:t>其他</w:t>
      </w:r>
    </w:p>
    <w:p>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1）福州下辖琅岐经济区因机构改革合并至福州市经济技术开发区市场监督管理局，针对原琅岐经济区加工数据库、电子档案数据、归属管辖机关、用户角色授权管理（内部人员查询权限、扫描加工权限）等进行调整更改。</w:t>
      </w:r>
    </w:p>
    <w:p>
      <w:pPr>
        <w:widowControl/>
        <w:spacing w:before="100" w:beforeAutospacing="1" w:after="100" w:afterAutospacing="1" w:line="360" w:lineRule="atLeast"/>
        <w:ind w:firstLine="480"/>
        <w:jc w:val="left"/>
        <w:rPr>
          <w:rFonts w:ascii="宋体" w:hAnsi="宋体" w:cs="宋体"/>
          <w:kern w:val="0"/>
          <w:szCs w:val="24"/>
        </w:rPr>
      </w:pPr>
      <w:r>
        <w:rPr>
          <w:rFonts w:hint="eastAsia" w:ascii="宋体" w:hAnsi="宋体" w:cs="宋体"/>
          <w:kern w:val="0"/>
          <w:szCs w:val="24"/>
        </w:rPr>
        <w:t>（2）优化系统设置管理</w:t>
      </w:r>
    </w:p>
    <w:p>
      <w:pPr>
        <w:pStyle w:val="2"/>
        <w:rPr>
          <w:szCs w:val="36"/>
        </w:rPr>
      </w:pPr>
      <w:r>
        <w:rPr>
          <w:rFonts w:hint="eastAsia"/>
          <w:szCs w:val="36"/>
        </w:rPr>
        <w:t>维护人员要求</w:t>
      </w:r>
    </w:p>
    <w:p>
      <w:pPr>
        <w:widowControl/>
        <w:spacing w:before="100" w:beforeAutospacing="1" w:after="100" w:afterAutospacing="1" w:line="360" w:lineRule="auto"/>
        <w:ind w:firstLine="480"/>
        <w:jc w:val="left"/>
        <w:rPr>
          <w:rFonts w:ascii="宋体" w:hAnsi="宋体" w:cs="宋体"/>
          <w:kern w:val="0"/>
          <w:szCs w:val="24"/>
        </w:rPr>
      </w:pPr>
      <w:r>
        <w:rPr>
          <w:rFonts w:hint="eastAsia" w:ascii="宋体" w:hAnsi="宋体" w:cs="宋体"/>
          <w:kern w:val="0"/>
          <w:szCs w:val="24"/>
        </w:rPr>
        <w:t>维护人员需熟悉福建省市场监督管理局企业档案影像管理系统，具备相应的技术能力，有三年以上档案管理系统维护工作经验。</w:t>
      </w:r>
    </w:p>
    <w:p>
      <w:r>
        <w:br w:type="page"/>
      </w:r>
    </w:p>
    <w:p>
      <w:pPr>
        <w:pStyle w:val="2"/>
        <w:numPr>
          <w:ilvl w:val="0"/>
          <w:numId w:val="0"/>
        </w:numPr>
        <w:ind w:left="709"/>
        <w:jc w:val="center"/>
        <w:rPr>
          <w:szCs w:val="36"/>
        </w:rPr>
      </w:pPr>
      <w:r>
        <w:rPr>
          <w:rFonts w:hint="eastAsia"/>
          <w:szCs w:val="36"/>
        </w:rPr>
        <w:t>评审标准</w:t>
      </w:r>
    </w:p>
    <w:p>
      <w:pPr>
        <w:widowControl/>
        <w:spacing w:line="360" w:lineRule="auto"/>
        <w:ind w:firstLine="480" w:firstLineChars="200"/>
        <w:rPr>
          <w:rFonts w:ascii="宋体" w:hAnsi="宋体" w:cs="Times New Roman"/>
          <w:kern w:val="0"/>
          <w:szCs w:val="24"/>
        </w:rPr>
      </w:pPr>
      <w:r>
        <w:rPr>
          <w:rFonts w:ascii="宋体" w:hAnsi="宋体" w:cs="Times New Roman"/>
          <w:kern w:val="0"/>
          <w:szCs w:val="24"/>
        </w:rPr>
        <w:t>评审方法：本项目采用综合评分法，</w:t>
      </w:r>
      <w:r>
        <w:rPr>
          <w:rFonts w:ascii="宋体" w:hAnsi="宋体" w:cs="Times New Roman"/>
          <w:szCs w:val="24"/>
        </w:rPr>
        <w:t>即响应文件满足比选文件全部实质性要求且按评审因素的量化指标评审得分最高的供应商为成交候选供应商的评审方法</w:t>
      </w:r>
      <w:r>
        <w:rPr>
          <w:rFonts w:ascii="宋体" w:hAnsi="宋体" w:cs="Times New Roman"/>
          <w:kern w:val="0"/>
          <w:szCs w:val="24"/>
        </w:rPr>
        <w:t>。</w:t>
      </w:r>
    </w:p>
    <w:p>
      <w:pPr>
        <w:widowControl/>
        <w:spacing w:line="360" w:lineRule="auto"/>
        <w:jc w:val="center"/>
        <w:rPr>
          <w:rFonts w:ascii="Times New Roman" w:hAnsi="Times New Roman" w:eastAsia="仿宋" w:cs="Times New Roman"/>
          <w:b/>
          <w:sz w:val="28"/>
          <w:szCs w:val="28"/>
        </w:rPr>
      </w:pPr>
      <w:r>
        <w:rPr>
          <w:rFonts w:ascii="Times New Roman" w:hAnsi="Times New Roman" w:eastAsia="仿宋" w:cs="Times New Roman"/>
          <w:b/>
          <w:sz w:val="28"/>
          <w:szCs w:val="28"/>
        </w:rPr>
        <w:t>评审标准细则</w:t>
      </w:r>
    </w:p>
    <w:tbl>
      <w:tblPr>
        <w:tblStyle w:val="14"/>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784"/>
        <w:gridCol w:w="736"/>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720" w:type="dxa"/>
            <w:tcBorders>
              <w:top w:val="single" w:color="auto" w:sz="4" w:space="0"/>
              <w:left w:val="single" w:color="auto" w:sz="4" w:space="0"/>
              <w:right w:val="single" w:color="auto" w:sz="4" w:space="0"/>
            </w:tcBorders>
            <w:vAlign w:val="center"/>
          </w:tcPr>
          <w:p>
            <w:pPr>
              <w:jc w:val="center"/>
              <w:rPr>
                <w:rFonts w:ascii="宋体" w:hAnsi="宋体" w:cs="Times New Roman"/>
                <w:b/>
                <w:szCs w:val="24"/>
              </w:rPr>
            </w:pPr>
            <w:r>
              <w:rPr>
                <w:rFonts w:ascii="宋体" w:hAnsi="宋体" w:cs="Times New Roman"/>
                <w:b/>
                <w:szCs w:val="24"/>
              </w:rPr>
              <w:t>序号</w:t>
            </w:r>
          </w:p>
        </w:tc>
        <w:tc>
          <w:tcPr>
            <w:tcW w:w="1800" w:type="dxa"/>
            <w:tcBorders>
              <w:top w:val="single" w:color="auto" w:sz="4" w:space="0"/>
              <w:left w:val="single" w:color="auto" w:sz="4" w:space="0"/>
              <w:right w:val="single" w:color="auto" w:sz="4" w:space="0"/>
            </w:tcBorders>
            <w:vAlign w:val="center"/>
          </w:tcPr>
          <w:p>
            <w:pPr>
              <w:jc w:val="center"/>
              <w:rPr>
                <w:rFonts w:ascii="宋体" w:hAnsi="宋体" w:cs="Times New Roman"/>
                <w:b/>
                <w:szCs w:val="24"/>
              </w:rPr>
            </w:pPr>
            <w:r>
              <w:rPr>
                <w:rFonts w:ascii="宋体" w:hAnsi="宋体" w:cs="Times New Roman"/>
                <w:b/>
                <w:szCs w:val="24"/>
              </w:rPr>
              <w:t>评分因素</w:t>
            </w:r>
          </w:p>
        </w:tc>
        <w:tc>
          <w:tcPr>
            <w:tcW w:w="6840" w:type="dxa"/>
            <w:gridSpan w:val="3"/>
            <w:tcBorders>
              <w:top w:val="single" w:color="auto" w:sz="4" w:space="0"/>
              <w:left w:val="single" w:color="auto" w:sz="4" w:space="0"/>
              <w:right w:val="single" w:color="auto" w:sz="4" w:space="0"/>
            </w:tcBorders>
            <w:vAlign w:val="center"/>
          </w:tcPr>
          <w:p>
            <w:pPr>
              <w:jc w:val="center"/>
              <w:rPr>
                <w:rFonts w:ascii="宋体" w:hAnsi="宋体" w:cs="Times New Roman"/>
                <w:b/>
                <w:szCs w:val="24"/>
              </w:rPr>
            </w:pPr>
            <w:r>
              <w:rPr>
                <w:rFonts w:ascii="宋体" w:hAnsi="宋体" w:cs="Times New Roman"/>
                <w:b/>
                <w:szCs w:val="24"/>
              </w:rPr>
              <w:t>评价指标和分值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720" w:type="dxa"/>
            <w:vMerge w:val="restart"/>
            <w:tcBorders>
              <w:top w:val="single" w:color="auto" w:sz="4" w:space="0"/>
              <w:left w:val="single" w:color="auto" w:sz="4" w:space="0"/>
              <w:right w:val="single" w:color="auto" w:sz="4" w:space="0"/>
            </w:tcBorders>
            <w:vAlign w:val="center"/>
          </w:tcPr>
          <w:p>
            <w:pPr>
              <w:jc w:val="center"/>
              <w:rPr>
                <w:rFonts w:ascii="宋体" w:hAnsi="宋体" w:cs="Times New Roman"/>
                <w:szCs w:val="24"/>
              </w:rPr>
            </w:pPr>
            <w:r>
              <w:rPr>
                <w:rFonts w:ascii="宋体" w:hAnsi="宋体" w:cs="Times New Roman"/>
                <w:szCs w:val="24"/>
              </w:rPr>
              <w:t>1</w:t>
            </w:r>
          </w:p>
        </w:tc>
        <w:tc>
          <w:tcPr>
            <w:tcW w:w="1800" w:type="dxa"/>
            <w:vMerge w:val="restart"/>
            <w:tcBorders>
              <w:top w:val="single" w:color="auto" w:sz="4" w:space="0"/>
              <w:left w:val="single" w:color="auto" w:sz="4" w:space="0"/>
              <w:right w:val="single" w:color="auto" w:sz="4" w:space="0"/>
            </w:tcBorders>
            <w:vAlign w:val="center"/>
          </w:tcPr>
          <w:p>
            <w:pPr>
              <w:jc w:val="center"/>
              <w:rPr>
                <w:rFonts w:ascii="宋体" w:hAnsi="宋体" w:cs="Times New Roman"/>
                <w:szCs w:val="24"/>
              </w:rPr>
            </w:pPr>
            <w:r>
              <w:rPr>
                <w:rFonts w:ascii="宋体" w:hAnsi="宋体" w:cs="Times New Roman"/>
                <w:szCs w:val="24"/>
              </w:rPr>
              <w:t>商务</w:t>
            </w:r>
          </w:p>
          <w:p>
            <w:pPr>
              <w:jc w:val="center"/>
              <w:rPr>
                <w:rFonts w:ascii="宋体" w:hAnsi="宋体" w:cs="Times New Roman"/>
                <w:szCs w:val="24"/>
              </w:rPr>
            </w:pPr>
            <w:r>
              <w:rPr>
                <w:rFonts w:ascii="宋体" w:hAnsi="宋体" w:cs="Times New Roman"/>
                <w:szCs w:val="24"/>
              </w:rPr>
              <w:t>（20分）</w:t>
            </w:r>
          </w:p>
        </w:tc>
        <w:tc>
          <w:tcPr>
            <w:tcW w:w="1784" w:type="dxa"/>
            <w:tcBorders>
              <w:top w:val="single" w:color="auto" w:sz="4" w:space="0"/>
              <w:left w:val="single" w:color="auto" w:sz="4" w:space="0"/>
              <w:right w:val="single" w:color="auto" w:sz="4" w:space="0"/>
            </w:tcBorders>
            <w:vAlign w:val="center"/>
          </w:tcPr>
          <w:p>
            <w:pPr>
              <w:jc w:val="center"/>
              <w:rPr>
                <w:rFonts w:ascii="宋体" w:hAnsi="宋体" w:cs="Times New Roman"/>
                <w:szCs w:val="24"/>
              </w:rPr>
            </w:pPr>
            <w:r>
              <w:rPr>
                <w:rFonts w:ascii="宋体" w:hAnsi="宋体" w:cs="Times New Roman"/>
                <w:szCs w:val="24"/>
              </w:rPr>
              <w:t>企业业绩及经验</w:t>
            </w:r>
          </w:p>
        </w:tc>
        <w:tc>
          <w:tcPr>
            <w:tcW w:w="736" w:type="dxa"/>
            <w:tcBorders>
              <w:top w:val="single" w:color="auto" w:sz="4" w:space="0"/>
              <w:left w:val="single" w:color="auto" w:sz="4" w:space="0"/>
              <w:right w:val="single" w:color="auto" w:sz="4" w:space="0"/>
            </w:tcBorders>
            <w:vAlign w:val="center"/>
          </w:tcPr>
          <w:p>
            <w:pPr>
              <w:jc w:val="center"/>
              <w:rPr>
                <w:rFonts w:ascii="宋体" w:hAnsi="宋体" w:cs="Times New Roman"/>
                <w:szCs w:val="24"/>
              </w:rPr>
            </w:pPr>
            <w:r>
              <w:rPr>
                <w:rFonts w:ascii="宋体" w:hAnsi="宋体" w:cs="Times New Roman"/>
                <w:szCs w:val="24"/>
              </w:rPr>
              <w:t>15分</w:t>
            </w:r>
          </w:p>
        </w:tc>
        <w:tc>
          <w:tcPr>
            <w:tcW w:w="4320" w:type="dxa"/>
            <w:tcBorders>
              <w:top w:val="single" w:color="auto" w:sz="4" w:space="0"/>
              <w:left w:val="single" w:color="auto" w:sz="4" w:space="0"/>
              <w:right w:val="single" w:color="auto" w:sz="4" w:space="0"/>
            </w:tcBorders>
            <w:vAlign w:val="center"/>
          </w:tcPr>
          <w:p>
            <w:pPr>
              <w:rPr>
                <w:rFonts w:ascii="宋体" w:hAnsi="宋体" w:cs="Times New Roman"/>
                <w:bCs/>
                <w:iCs/>
                <w:szCs w:val="24"/>
              </w:rPr>
            </w:pPr>
            <w:r>
              <w:rPr>
                <w:rFonts w:ascii="宋体" w:hAnsi="宋体" w:cs="Times New Roman"/>
                <w:bCs/>
                <w:iCs/>
                <w:szCs w:val="24"/>
              </w:rPr>
              <w:t>综合考虑</w:t>
            </w:r>
            <w:r>
              <w:rPr>
                <w:rFonts w:ascii="宋体" w:hAnsi="宋体" w:cs="Times New Roman"/>
                <w:szCs w:val="24"/>
              </w:rPr>
              <w:t>供应商</w:t>
            </w:r>
            <w:r>
              <w:rPr>
                <w:rFonts w:ascii="宋体" w:hAnsi="宋体" w:cs="Times New Roman"/>
                <w:bCs/>
                <w:iCs/>
                <w:szCs w:val="24"/>
              </w:rPr>
              <w:t>在最近3年（2020年01月至今）所承担过的</w:t>
            </w:r>
            <w:r>
              <w:rPr>
                <w:rFonts w:hint="eastAsia" w:ascii="宋体" w:hAnsi="宋体" w:cs="Times New Roman"/>
                <w:bCs/>
                <w:iCs/>
                <w:szCs w:val="24"/>
              </w:rPr>
              <w:t>企业</w:t>
            </w:r>
            <w:r>
              <w:rPr>
                <w:rFonts w:ascii="宋体" w:hAnsi="宋体" w:cs="Times New Roman"/>
                <w:bCs/>
                <w:iCs/>
                <w:szCs w:val="24"/>
              </w:rPr>
              <w:t>档案</w:t>
            </w:r>
            <w:r>
              <w:rPr>
                <w:rFonts w:hint="eastAsia" w:ascii="宋体" w:hAnsi="宋体" w:cs="Times New Roman"/>
                <w:bCs/>
                <w:iCs/>
                <w:szCs w:val="24"/>
              </w:rPr>
              <w:t>管理系统运维项目</w:t>
            </w:r>
            <w:r>
              <w:rPr>
                <w:rFonts w:ascii="宋体" w:hAnsi="宋体" w:cs="Times New Roman"/>
                <w:bCs/>
                <w:iCs/>
                <w:szCs w:val="24"/>
              </w:rPr>
              <w:t>业绩，每提供一个得3分，本项最多得15分</w:t>
            </w:r>
            <w:r>
              <w:rPr>
                <w:rFonts w:hint="eastAsia" w:ascii="宋体" w:hAnsi="宋体" w:cs="Times New Roman"/>
                <w:bCs/>
                <w:iCs/>
                <w:szCs w:val="24"/>
              </w:rPr>
              <w:t>。</w:t>
            </w:r>
          </w:p>
          <w:p>
            <w:pPr>
              <w:rPr>
                <w:rFonts w:ascii="宋体" w:hAnsi="宋体" w:cs="Times New Roman"/>
                <w:bCs/>
                <w:iCs/>
                <w:szCs w:val="24"/>
              </w:rPr>
            </w:pPr>
            <w:r>
              <w:rPr>
                <w:rFonts w:hint="eastAsia" w:ascii="宋体" w:hAnsi="宋体" w:cs="Times New Roman"/>
                <w:kern w:val="0"/>
                <w:szCs w:val="24"/>
              </w:rPr>
              <w:t>（</w:t>
            </w:r>
            <w:r>
              <w:rPr>
                <w:rFonts w:ascii="宋体" w:hAnsi="宋体" w:cs="Times New Roman"/>
                <w:kern w:val="0"/>
                <w:szCs w:val="24"/>
              </w:rPr>
              <w:t>须提供合同复印件并加盖供应商公章。</w:t>
            </w:r>
            <w:r>
              <w:rPr>
                <w:rFonts w:hint="eastAsia" w:ascii="宋体" w:hAnsi="宋体" w:cs="Times New Roman"/>
                <w:kern w:val="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jc w:val="center"/>
        </w:trPr>
        <w:tc>
          <w:tcPr>
            <w:tcW w:w="720" w:type="dxa"/>
            <w:vMerge w:val="continue"/>
            <w:tcBorders>
              <w:left w:val="single" w:color="auto" w:sz="4" w:space="0"/>
              <w:right w:val="single" w:color="auto" w:sz="4" w:space="0"/>
            </w:tcBorders>
            <w:vAlign w:val="center"/>
          </w:tcPr>
          <w:p>
            <w:pPr>
              <w:jc w:val="center"/>
              <w:rPr>
                <w:rFonts w:ascii="宋体" w:hAnsi="宋体" w:cs="Times New Roman"/>
                <w:szCs w:val="24"/>
              </w:rPr>
            </w:pPr>
          </w:p>
        </w:tc>
        <w:tc>
          <w:tcPr>
            <w:tcW w:w="1800" w:type="dxa"/>
            <w:vMerge w:val="continue"/>
            <w:tcBorders>
              <w:left w:val="single" w:color="auto" w:sz="4" w:space="0"/>
              <w:right w:val="single" w:color="auto" w:sz="4" w:space="0"/>
            </w:tcBorders>
            <w:vAlign w:val="center"/>
          </w:tcPr>
          <w:p>
            <w:pPr>
              <w:jc w:val="center"/>
              <w:rPr>
                <w:rFonts w:ascii="宋体" w:hAnsi="宋体" w:cs="Times New Roman"/>
                <w:szCs w:val="24"/>
              </w:rPr>
            </w:pPr>
          </w:p>
        </w:tc>
        <w:tc>
          <w:tcPr>
            <w:tcW w:w="1784" w:type="dxa"/>
            <w:tcBorders>
              <w:top w:val="single" w:color="auto" w:sz="4" w:space="0"/>
              <w:left w:val="single" w:color="auto" w:sz="4" w:space="0"/>
              <w:right w:val="single" w:color="auto" w:sz="4" w:space="0"/>
            </w:tcBorders>
            <w:vAlign w:val="center"/>
          </w:tcPr>
          <w:p>
            <w:pPr>
              <w:jc w:val="center"/>
              <w:rPr>
                <w:rFonts w:ascii="宋体" w:hAnsi="宋体" w:cs="Times New Roman"/>
                <w:szCs w:val="24"/>
              </w:rPr>
            </w:pPr>
            <w:r>
              <w:rPr>
                <w:rFonts w:hint="eastAsia" w:ascii="宋体" w:hAnsi="宋体" w:cs="Times New Roman"/>
                <w:szCs w:val="24"/>
              </w:rPr>
              <w:t>相关资质</w:t>
            </w:r>
            <w:r>
              <w:rPr>
                <w:rFonts w:ascii="宋体" w:hAnsi="宋体" w:cs="Times New Roman"/>
                <w:szCs w:val="24"/>
              </w:rPr>
              <w:t>证书</w:t>
            </w:r>
          </w:p>
        </w:tc>
        <w:tc>
          <w:tcPr>
            <w:tcW w:w="736" w:type="dxa"/>
            <w:tcBorders>
              <w:top w:val="single" w:color="auto" w:sz="4" w:space="0"/>
              <w:left w:val="single" w:color="auto" w:sz="4" w:space="0"/>
              <w:right w:val="single" w:color="auto" w:sz="4" w:space="0"/>
            </w:tcBorders>
            <w:vAlign w:val="center"/>
          </w:tcPr>
          <w:p>
            <w:pPr>
              <w:jc w:val="center"/>
              <w:rPr>
                <w:rFonts w:ascii="宋体" w:hAnsi="宋体" w:cs="Times New Roman"/>
                <w:szCs w:val="24"/>
              </w:rPr>
            </w:pPr>
            <w:r>
              <w:rPr>
                <w:rFonts w:ascii="宋体" w:hAnsi="宋体" w:cs="Times New Roman"/>
                <w:szCs w:val="24"/>
              </w:rPr>
              <w:t>5分</w:t>
            </w:r>
          </w:p>
        </w:tc>
        <w:tc>
          <w:tcPr>
            <w:tcW w:w="4320" w:type="dxa"/>
            <w:tcBorders>
              <w:top w:val="single" w:color="auto" w:sz="4" w:space="0"/>
              <w:left w:val="single" w:color="auto" w:sz="4" w:space="0"/>
              <w:right w:val="single" w:color="auto" w:sz="4" w:space="0"/>
            </w:tcBorders>
            <w:vAlign w:val="center"/>
          </w:tcPr>
          <w:p>
            <w:pPr>
              <w:rPr>
                <w:rFonts w:ascii="宋体" w:hAnsi="宋体" w:cs="Times New Roman"/>
                <w:szCs w:val="24"/>
              </w:rPr>
            </w:pPr>
            <w:r>
              <w:rPr>
                <w:rFonts w:hint="eastAsia" w:ascii="宋体" w:hAnsi="宋体" w:cs="Times New Roman"/>
                <w:szCs w:val="24"/>
              </w:rPr>
              <w:t>供应商具有自主知识产权的企业档案影像管理系统软件著作权登记证书的得</w:t>
            </w:r>
            <w:r>
              <w:rPr>
                <w:rFonts w:ascii="宋体" w:hAnsi="宋体" w:cs="Times New Roman"/>
                <w:szCs w:val="24"/>
              </w:rPr>
              <w:t>2分</w:t>
            </w:r>
            <w:r>
              <w:rPr>
                <w:rFonts w:hint="eastAsia" w:ascii="宋体" w:hAnsi="宋体" w:cs="Times New Roman"/>
                <w:szCs w:val="24"/>
              </w:rPr>
              <w:t>；</w:t>
            </w:r>
          </w:p>
          <w:p>
            <w:pPr>
              <w:rPr>
                <w:rFonts w:hint="eastAsia" w:ascii="宋体" w:hAnsi="宋体" w:cs="Times New Roman"/>
                <w:szCs w:val="24"/>
              </w:rPr>
            </w:pPr>
            <w:r>
              <w:rPr>
                <w:rFonts w:hint="eastAsia" w:ascii="宋体" w:hAnsi="宋体" w:cs="Times New Roman"/>
                <w:szCs w:val="24"/>
              </w:rPr>
              <w:t>供应商具有自主知识产权的工商网上登记全程电子化档案信息管理系统软件著作权登记证书的得</w:t>
            </w:r>
            <w:r>
              <w:rPr>
                <w:rFonts w:ascii="宋体" w:hAnsi="宋体" w:cs="Times New Roman"/>
                <w:szCs w:val="24"/>
              </w:rPr>
              <w:t>2分</w:t>
            </w:r>
            <w:r>
              <w:rPr>
                <w:rFonts w:hint="eastAsia" w:ascii="宋体" w:hAnsi="宋体" w:cs="Times New Roman"/>
                <w:szCs w:val="24"/>
              </w:rPr>
              <w:t>；</w:t>
            </w:r>
          </w:p>
          <w:p>
            <w:pPr>
              <w:rPr>
                <w:rFonts w:hint="eastAsia" w:ascii="宋体" w:hAnsi="宋体" w:cs="Times New Roman"/>
                <w:szCs w:val="24"/>
              </w:rPr>
            </w:pPr>
            <w:r>
              <w:rPr>
                <w:rFonts w:hint="eastAsia" w:ascii="宋体" w:hAnsi="宋体" w:cs="Times New Roman"/>
                <w:szCs w:val="24"/>
              </w:rPr>
              <w:t>供应商具有有效的</w:t>
            </w:r>
            <w:r>
              <w:rPr>
                <w:rFonts w:ascii="宋体" w:hAnsi="宋体" w:cs="Times New Roman"/>
                <w:szCs w:val="24"/>
              </w:rPr>
              <w:t>ISO9001质量管理体系认证证书的</w:t>
            </w:r>
            <w:r>
              <w:rPr>
                <w:rFonts w:hint="eastAsia" w:ascii="宋体" w:hAnsi="宋体" w:cs="Times New Roman"/>
                <w:szCs w:val="24"/>
              </w:rPr>
              <w:t>，得</w:t>
            </w:r>
            <w:r>
              <w:rPr>
                <w:rFonts w:ascii="宋体" w:hAnsi="宋体" w:cs="Times New Roman"/>
                <w:szCs w:val="24"/>
              </w:rPr>
              <w:t>1</w:t>
            </w:r>
            <w:r>
              <w:rPr>
                <w:rFonts w:hint="eastAsia" w:ascii="宋体" w:hAnsi="宋体" w:cs="Times New Roman"/>
                <w:szCs w:val="24"/>
              </w:rPr>
              <w:t>分。</w:t>
            </w:r>
          </w:p>
          <w:p>
            <w:pPr>
              <w:rPr>
                <w:rFonts w:ascii="宋体" w:hAnsi="宋体" w:cs="Times New Roman"/>
                <w:szCs w:val="24"/>
              </w:rPr>
            </w:pPr>
            <w:r>
              <w:rPr>
                <w:rFonts w:ascii="宋体" w:hAnsi="宋体" w:cs="Times New Roman"/>
                <w:kern w:val="0"/>
                <w:szCs w:val="24"/>
              </w:rPr>
              <w:t>须</w:t>
            </w:r>
            <w:r>
              <w:rPr>
                <w:rFonts w:hint="eastAsia" w:ascii="宋体" w:hAnsi="宋体" w:cs="Times New Roman"/>
                <w:bCs/>
                <w:iCs/>
                <w:szCs w:val="24"/>
              </w:rPr>
              <w:t>提供有效的证书复印件，否则不得分。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72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Times New Roman"/>
                <w:szCs w:val="24"/>
              </w:rPr>
            </w:pPr>
            <w:r>
              <w:rPr>
                <w:rFonts w:ascii="宋体" w:hAnsi="宋体" w:cs="Times New Roman"/>
                <w:szCs w:val="24"/>
              </w:rPr>
              <w:t>2</w:t>
            </w:r>
          </w:p>
        </w:tc>
        <w:tc>
          <w:tcPr>
            <w:tcW w:w="18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Times New Roman"/>
                <w:szCs w:val="24"/>
              </w:rPr>
            </w:pPr>
            <w:r>
              <w:rPr>
                <w:rFonts w:ascii="宋体" w:hAnsi="宋体" w:cs="Times New Roman"/>
                <w:szCs w:val="24"/>
              </w:rPr>
              <w:t>服务方案</w:t>
            </w:r>
          </w:p>
          <w:p>
            <w:pPr>
              <w:widowControl/>
              <w:jc w:val="center"/>
              <w:rPr>
                <w:rFonts w:ascii="宋体" w:hAnsi="宋体" w:cs="Times New Roman"/>
                <w:szCs w:val="24"/>
              </w:rPr>
            </w:pPr>
            <w:r>
              <w:rPr>
                <w:rFonts w:ascii="宋体" w:hAnsi="宋体" w:cs="Times New Roman"/>
                <w:szCs w:val="24"/>
              </w:rPr>
              <w:t>（70分）</w:t>
            </w:r>
          </w:p>
        </w:tc>
        <w:tc>
          <w:tcPr>
            <w:tcW w:w="1784" w:type="dxa"/>
            <w:tcBorders>
              <w:top w:val="single" w:color="auto" w:sz="4" w:space="0"/>
              <w:left w:val="single" w:color="auto" w:sz="4" w:space="0"/>
              <w:right w:val="single" w:color="auto" w:sz="4" w:space="0"/>
            </w:tcBorders>
            <w:vAlign w:val="center"/>
          </w:tcPr>
          <w:p>
            <w:pPr>
              <w:widowControl/>
              <w:jc w:val="center"/>
              <w:rPr>
                <w:rFonts w:ascii="宋体" w:hAnsi="宋体" w:cs="Times New Roman"/>
                <w:szCs w:val="24"/>
              </w:rPr>
            </w:pPr>
            <w:r>
              <w:rPr>
                <w:rFonts w:hint="eastAsia" w:ascii="宋体" w:hAnsi="宋体" w:cs="Times New Roman"/>
                <w:szCs w:val="24"/>
              </w:rPr>
              <w:t>系统整体维护方案</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Cs w:val="24"/>
              </w:rPr>
            </w:pPr>
            <w:r>
              <w:rPr>
                <w:rFonts w:ascii="宋体" w:hAnsi="宋体" w:cs="Times New Roman"/>
                <w:szCs w:val="24"/>
              </w:rPr>
              <w:t>15</w:t>
            </w:r>
            <w:r>
              <w:rPr>
                <w:rFonts w:hint="eastAsia" w:ascii="宋体" w:hAnsi="宋体" w:cs="Times New Roman"/>
                <w:szCs w:val="24"/>
              </w:rPr>
              <w:t>分</w:t>
            </w:r>
          </w:p>
        </w:tc>
        <w:tc>
          <w:tcPr>
            <w:tcW w:w="4320"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szCs w:val="24"/>
              </w:rPr>
            </w:pPr>
            <w:r>
              <w:rPr>
                <w:rFonts w:hint="eastAsia" w:ascii="宋体" w:hAnsi="宋体" w:cs="Times New Roman"/>
                <w:szCs w:val="24"/>
              </w:rPr>
              <w:t>根据投标人提供系统整体维护方案，由评委进行评分：</w:t>
            </w:r>
          </w:p>
          <w:p>
            <w:pPr>
              <w:rPr>
                <w:rFonts w:ascii="宋体" w:hAnsi="宋体" w:cs="Times New Roman"/>
                <w:szCs w:val="24"/>
              </w:rPr>
            </w:pPr>
            <w:r>
              <w:rPr>
                <w:rFonts w:hint="eastAsia" w:ascii="宋体" w:hAnsi="宋体" w:cs="Times New Roman"/>
                <w:szCs w:val="24"/>
              </w:rPr>
              <w:t>方案内容详实、完整、可操作性强的得</w:t>
            </w:r>
            <w:r>
              <w:rPr>
                <w:rFonts w:ascii="宋体" w:hAnsi="宋体" w:cs="Times New Roman"/>
                <w:szCs w:val="24"/>
              </w:rPr>
              <w:t>15分；</w:t>
            </w:r>
          </w:p>
          <w:p>
            <w:pPr>
              <w:rPr>
                <w:rFonts w:ascii="宋体" w:hAnsi="宋体" w:cs="Times New Roman"/>
                <w:szCs w:val="24"/>
              </w:rPr>
            </w:pPr>
            <w:r>
              <w:rPr>
                <w:rFonts w:ascii="宋体" w:hAnsi="宋体" w:cs="Times New Roman"/>
                <w:szCs w:val="24"/>
              </w:rPr>
              <w:t>方案内容部分详实或部分内容可操作得10分；</w:t>
            </w:r>
          </w:p>
          <w:p>
            <w:pPr>
              <w:rPr>
                <w:rFonts w:ascii="宋体" w:hAnsi="宋体" w:cs="Times New Roman"/>
                <w:szCs w:val="24"/>
              </w:rPr>
            </w:pPr>
            <w:r>
              <w:rPr>
                <w:rFonts w:ascii="宋体" w:hAnsi="宋体" w:cs="Times New Roman"/>
                <w:szCs w:val="24"/>
              </w:rPr>
              <w:t>方案内容阐述简短或无实质内容的得5分；</w:t>
            </w:r>
          </w:p>
          <w:p>
            <w:pPr>
              <w:rPr>
                <w:rFonts w:ascii="宋体" w:hAnsi="宋体" w:cs="Times New Roman"/>
                <w:szCs w:val="24"/>
              </w:rPr>
            </w:pPr>
            <w:r>
              <w:rPr>
                <w:rFonts w:ascii="宋体" w:hAnsi="宋体" w:cs="Times New Roman"/>
                <w:szCs w:val="24"/>
              </w:rPr>
              <w:t>未提供或不合理的不得分。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720" w:type="dxa"/>
            <w:vMerge w:val="continue"/>
            <w:tcBorders>
              <w:left w:val="single" w:color="auto" w:sz="4" w:space="0"/>
              <w:right w:val="single" w:color="auto" w:sz="4" w:space="0"/>
            </w:tcBorders>
            <w:vAlign w:val="center"/>
          </w:tcPr>
          <w:p>
            <w:pPr>
              <w:widowControl/>
              <w:jc w:val="center"/>
              <w:rPr>
                <w:rFonts w:ascii="宋体" w:hAnsi="宋体" w:cs="Times New Roman"/>
                <w:szCs w:val="24"/>
              </w:rPr>
            </w:pPr>
          </w:p>
        </w:tc>
        <w:tc>
          <w:tcPr>
            <w:tcW w:w="1800" w:type="dxa"/>
            <w:vMerge w:val="continue"/>
            <w:tcBorders>
              <w:left w:val="single" w:color="auto" w:sz="4" w:space="0"/>
              <w:right w:val="single" w:color="auto" w:sz="4" w:space="0"/>
            </w:tcBorders>
            <w:vAlign w:val="center"/>
          </w:tcPr>
          <w:p>
            <w:pPr>
              <w:widowControl/>
              <w:jc w:val="center"/>
              <w:rPr>
                <w:rFonts w:ascii="宋体" w:hAnsi="宋体" w:cs="Times New Roman"/>
                <w:szCs w:val="24"/>
              </w:rPr>
            </w:pPr>
          </w:p>
        </w:tc>
        <w:tc>
          <w:tcPr>
            <w:tcW w:w="1784" w:type="dxa"/>
            <w:tcBorders>
              <w:top w:val="single" w:color="auto" w:sz="4" w:space="0"/>
              <w:left w:val="single" w:color="auto" w:sz="4" w:space="0"/>
              <w:right w:val="single" w:color="auto" w:sz="4" w:space="0"/>
            </w:tcBorders>
            <w:vAlign w:val="center"/>
          </w:tcPr>
          <w:p>
            <w:pPr>
              <w:widowControl/>
              <w:jc w:val="center"/>
              <w:rPr>
                <w:rFonts w:ascii="宋体" w:hAnsi="宋体" w:cs="Times New Roman"/>
                <w:szCs w:val="24"/>
              </w:rPr>
            </w:pPr>
            <w:r>
              <w:rPr>
                <w:rFonts w:hint="eastAsia" w:ascii="宋体" w:hAnsi="宋体" w:cs="Times New Roman"/>
                <w:szCs w:val="24"/>
              </w:rPr>
              <w:t>系统熟悉</w:t>
            </w:r>
          </w:p>
          <w:p>
            <w:pPr>
              <w:widowControl/>
              <w:jc w:val="center"/>
              <w:rPr>
                <w:rFonts w:ascii="宋体" w:hAnsi="宋体" w:cs="Times New Roman"/>
                <w:szCs w:val="24"/>
              </w:rPr>
            </w:pPr>
            <w:r>
              <w:rPr>
                <w:rFonts w:hint="eastAsia" w:ascii="宋体" w:hAnsi="宋体" w:cs="Times New Roman"/>
                <w:szCs w:val="24"/>
              </w:rPr>
              <w:t>程度</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Cs w:val="24"/>
              </w:rPr>
            </w:pPr>
            <w:r>
              <w:rPr>
                <w:rFonts w:ascii="宋体" w:hAnsi="宋体" w:cs="Times New Roman"/>
                <w:szCs w:val="24"/>
              </w:rPr>
              <w:t>15分</w:t>
            </w:r>
          </w:p>
        </w:tc>
        <w:tc>
          <w:tcPr>
            <w:tcW w:w="4320"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szCs w:val="24"/>
              </w:rPr>
            </w:pPr>
            <w:r>
              <w:rPr>
                <w:rFonts w:hint="eastAsia" w:ascii="宋体" w:hAnsi="宋体" w:cs="Times New Roman"/>
                <w:szCs w:val="24"/>
              </w:rPr>
              <w:t>根据投标人对福建省市场监督管理局企业档案电子化综合管理系统的熟悉程度，并提供相关操作重点分析情况，由评委进行评分：</w:t>
            </w:r>
          </w:p>
          <w:p>
            <w:pPr>
              <w:rPr>
                <w:rFonts w:ascii="宋体" w:hAnsi="宋体" w:cs="Times New Roman"/>
                <w:szCs w:val="24"/>
              </w:rPr>
            </w:pPr>
            <w:r>
              <w:rPr>
                <w:rFonts w:hint="eastAsia" w:ascii="宋体" w:hAnsi="宋体" w:cs="Times New Roman"/>
                <w:szCs w:val="24"/>
              </w:rPr>
              <w:t>对目标系统的描述详实，对系统运维工作重点分析详细，针对性强的得</w:t>
            </w:r>
            <w:r>
              <w:rPr>
                <w:rFonts w:ascii="宋体" w:hAnsi="宋体" w:cs="Times New Roman"/>
                <w:szCs w:val="24"/>
              </w:rPr>
              <w:t>15分； 对目标系统的描述部分详实，对系统运维工作重点分析部分详实的得10分；</w:t>
            </w:r>
          </w:p>
          <w:p>
            <w:pPr>
              <w:rPr>
                <w:rFonts w:hint="eastAsia" w:ascii="宋体" w:hAnsi="宋体" w:cs="Times New Roman"/>
                <w:szCs w:val="24"/>
              </w:rPr>
            </w:pPr>
            <w:r>
              <w:rPr>
                <w:rFonts w:ascii="宋体" w:hAnsi="宋体" w:cs="Times New Roman"/>
                <w:szCs w:val="24"/>
              </w:rPr>
              <w:t>对目标系统的描述简短或无实质内容的得5分</w:t>
            </w:r>
            <w:r>
              <w:rPr>
                <w:rFonts w:hint="eastAsia" w:ascii="宋体" w:hAnsi="宋体" w:cs="Times New Roman"/>
                <w:szCs w:val="24"/>
              </w:rPr>
              <w:t>。</w:t>
            </w:r>
          </w:p>
          <w:p>
            <w:pPr>
              <w:rPr>
                <w:rFonts w:ascii="宋体" w:hAnsi="宋体" w:cs="Times New Roman"/>
                <w:bCs/>
                <w:iCs/>
                <w:szCs w:val="24"/>
              </w:rPr>
            </w:pPr>
            <w:r>
              <w:rPr>
                <w:rFonts w:ascii="宋体" w:hAnsi="宋体" w:cs="Times New Roman"/>
                <w:szCs w:val="24"/>
              </w:rPr>
              <w:t>未提供或不合理的不得分。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720" w:type="dxa"/>
            <w:vMerge w:val="continue"/>
            <w:tcBorders>
              <w:left w:val="single" w:color="auto" w:sz="4" w:space="0"/>
              <w:right w:val="single" w:color="auto" w:sz="4" w:space="0"/>
            </w:tcBorders>
            <w:vAlign w:val="center"/>
          </w:tcPr>
          <w:p>
            <w:pPr>
              <w:widowControl/>
              <w:jc w:val="center"/>
              <w:rPr>
                <w:rFonts w:ascii="宋体" w:hAnsi="宋体" w:cs="Times New Roman"/>
                <w:szCs w:val="24"/>
              </w:rPr>
            </w:pPr>
          </w:p>
        </w:tc>
        <w:tc>
          <w:tcPr>
            <w:tcW w:w="1800" w:type="dxa"/>
            <w:vMerge w:val="continue"/>
            <w:tcBorders>
              <w:left w:val="single" w:color="auto" w:sz="4" w:space="0"/>
              <w:right w:val="single" w:color="auto" w:sz="4" w:space="0"/>
            </w:tcBorders>
            <w:vAlign w:val="center"/>
          </w:tcPr>
          <w:p>
            <w:pPr>
              <w:widowControl/>
              <w:jc w:val="center"/>
              <w:rPr>
                <w:rFonts w:ascii="宋体" w:hAnsi="宋体" w:cs="Times New Roman"/>
                <w:szCs w:val="24"/>
              </w:rPr>
            </w:pPr>
          </w:p>
        </w:tc>
        <w:tc>
          <w:tcPr>
            <w:tcW w:w="1784" w:type="dxa"/>
            <w:tcBorders>
              <w:top w:val="single" w:color="auto" w:sz="4" w:space="0"/>
              <w:left w:val="single" w:color="auto" w:sz="4" w:space="0"/>
              <w:right w:val="single" w:color="auto" w:sz="4" w:space="0"/>
            </w:tcBorders>
            <w:vAlign w:val="center"/>
          </w:tcPr>
          <w:p>
            <w:pPr>
              <w:widowControl/>
              <w:jc w:val="center"/>
              <w:rPr>
                <w:rFonts w:ascii="宋体" w:hAnsi="宋体" w:cs="Times New Roman"/>
                <w:szCs w:val="24"/>
              </w:rPr>
            </w:pPr>
            <w:r>
              <w:rPr>
                <w:rFonts w:hint="eastAsia" w:ascii="宋体" w:hAnsi="宋体" w:cs="Times New Roman"/>
                <w:szCs w:val="24"/>
              </w:rPr>
              <w:t>系统关键技术评测</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Cs w:val="24"/>
              </w:rPr>
            </w:pPr>
            <w:r>
              <w:rPr>
                <w:rFonts w:ascii="宋体" w:hAnsi="宋体" w:cs="Times New Roman"/>
                <w:szCs w:val="24"/>
              </w:rPr>
              <w:t>15</w:t>
            </w:r>
            <w:r>
              <w:rPr>
                <w:rFonts w:hint="eastAsia" w:ascii="宋体" w:hAnsi="宋体" w:cs="Times New Roman"/>
                <w:szCs w:val="24"/>
              </w:rPr>
              <w:t>分</w:t>
            </w:r>
          </w:p>
        </w:tc>
        <w:tc>
          <w:tcPr>
            <w:tcW w:w="4320"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szCs w:val="24"/>
              </w:rPr>
            </w:pPr>
            <w:r>
              <w:rPr>
                <w:rFonts w:hint="eastAsia" w:ascii="宋体" w:hAnsi="宋体" w:cs="Times New Roman"/>
                <w:szCs w:val="24"/>
              </w:rPr>
              <w:t>根据投标人针对本项目的企业档案电子化综合管理系统具有的关键技术能力情况由评委进行评分，投标人提供第三方软件评测报告，根据报告中包含的以下关键技术评测：</w:t>
            </w:r>
          </w:p>
          <w:p>
            <w:pPr>
              <w:rPr>
                <w:rFonts w:ascii="宋体" w:hAnsi="宋体" w:cs="Times New Roman"/>
                <w:szCs w:val="24"/>
              </w:rPr>
            </w:pPr>
            <w:r>
              <w:rPr>
                <w:rFonts w:hint="eastAsia" w:ascii="宋体" w:hAnsi="宋体" w:cs="Times New Roman"/>
                <w:szCs w:val="24"/>
              </w:rPr>
              <w:t>具有“档案一体化扫描及高效数字化处理技术（或功能）”的</w:t>
            </w:r>
            <w:r>
              <w:rPr>
                <w:rFonts w:ascii="宋体" w:hAnsi="宋体" w:cs="Times New Roman"/>
                <w:szCs w:val="24"/>
              </w:rPr>
              <w:t>得3分；</w:t>
            </w:r>
          </w:p>
          <w:p>
            <w:pPr>
              <w:rPr>
                <w:rFonts w:ascii="宋体" w:hAnsi="宋体" w:cs="Times New Roman"/>
                <w:szCs w:val="24"/>
              </w:rPr>
            </w:pPr>
            <w:r>
              <w:rPr>
                <w:rFonts w:ascii="宋体" w:hAnsi="宋体" w:cs="Times New Roman"/>
                <w:szCs w:val="24"/>
              </w:rPr>
              <w:t>具有“电子档案密级控制技术（或功能）”的得3分；</w:t>
            </w:r>
          </w:p>
          <w:p>
            <w:pPr>
              <w:rPr>
                <w:rFonts w:ascii="宋体" w:hAnsi="宋体" w:cs="Times New Roman"/>
                <w:szCs w:val="24"/>
              </w:rPr>
            </w:pPr>
            <w:r>
              <w:rPr>
                <w:rFonts w:ascii="宋体" w:hAnsi="宋体" w:cs="Times New Roman"/>
                <w:szCs w:val="24"/>
              </w:rPr>
              <w:t>具有“零磁盘文件式影像下载与浏览技术（或功能）”的得3分；</w:t>
            </w:r>
          </w:p>
          <w:p>
            <w:pPr>
              <w:rPr>
                <w:rFonts w:ascii="宋体" w:hAnsi="宋体" w:cs="Times New Roman"/>
                <w:szCs w:val="24"/>
              </w:rPr>
            </w:pPr>
            <w:r>
              <w:rPr>
                <w:rFonts w:ascii="宋体" w:hAnsi="宋体" w:cs="Times New Roman"/>
                <w:szCs w:val="24"/>
              </w:rPr>
              <w:t>具有“数字化加工质量管控技术（或功能）”的得3分；</w:t>
            </w:r>
          </w:p>
          <w:p>
            <w:pPr>
              <w:rPr>
                <w:rFonts w:ascii="宋体" w:hAnsi="宋体" w:cs="Times New Roman"/>
                <w:szCs w:val="24"/>
              </w:rPr>
            </w:pPr>
            <w:r>
              <w:rPr>
                <w:rFonts w:ascii="宋体" w:hAnsi="宋体" w:cs="Times New Roman"/>
                <w:szCs w:val="24"/>
              </w:rPr>
              <w:t>具有远程文件访问技术（或功能）的得3分；满分15分。</w:t>
            </w:r>
          </w:p>
          <w:p>
            <w:pPr>
              <w:rPr>
                <w:rFonts w:ascii="宋体" w:hAnsi="宋体" w:cs="Times New Roman"/>
                <w:szCs w:val="24"/>
              </w:rPr>
            </w:pPr>
            <w:r>
              <w:rPr>
                <w:rFonts w:ascii="宋体" w:hAnsi="宋体" w:cs="Times New Roman"/>
                <w:szCs w:val="24"/>
              </w:rPr>
              <w:t>未提供测评报告或报告中没有相关技术评测不得分。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720" w:type="dxa"/>
            <w:vMerge w:val="continue"/>
            <w:tcBorders>
              <w:left w:val="single" w:color="auto" w:sz="4" w:space="0"/>
              <w:right w:val="single" w:color="auto" w:sz="4" w:space="0"/>
            </w:tcBorders>
            <w:vAlign w:val="center"/>
          </w:tcPr>
          <w:p>
            <w:pPr>
              <w:widowControl/>
              <w:jc w:val="center"/>
              <w:rPr>
                <w:rFonts w:ascii="宋体" w:hAnsi="宋体" w:cs="Times New Roman"/>
                <w:szCs w:val="24"/>
              </w:rPr>
            </w:pPr>
          </w:p>
        </w:tc>
        <w:tc>
          <w:tcPr>
            <w:tcW w:w="1800" w:type="dxa"/>
            <w:vMerge w:val="continue"/>
            <w:tcBorders>
              <w:left w:val="single" w:color="auto" w:sz="4" w:space="0"/>
              <w:right w:val="single" w:color="auto" w:sz="4" w:space="0"/>
            </w:tcBorders>
            <w:vAlign w:val="center"/>
          </w:tcPr>
          <w:p>
            <w:pPr>
              <w:widowControl/>
              <w:jc w:val="center"/>
              <w:rPr>
                <w:rFonts w:ascii="宋体" w:hAnsi="宋体" w:cs="Times New Roman"/>
                <w:szCs w:val="24"/>
              </w:rPr>
            </w:pPr>
          </w:p>
        </w:tc>
        <w:tc>
          <w:tcPr>
            <w:tcW w:w="1784" w:type="dxa"/>
            <w:tcBorders>
              <w:top w:val="single" w:color="auto" w:sz="4" w:space="0"/>
              <w:left w:val="single" w:color="auto" w:sz="4" w:space="0"/>
              <w:right w:val="single" w:color="auto" w:sz="4" w:space="0"/>
            </w:tcBorders>
            <w:vAlign w:val="center"/>
          </w:tcPr>
          <w:p>
            <w:pPr>
              <w:jc w:val="center"/>
              <w:rPr>
                <w:rFonts w:ascii="宋体" w:hAnsi="宋体" w:cs="Times New Roman"/>
                <w:szCs w:val="24"/>
              </w:rPr>
            </w:pPr>
            <w:r>
              <w:rPr>
                <w:rFonts w:ascii="宋体" w:hAnsi="宋体" w:cs="Times New Roman"/>
                <w:szCs w:val="24"/>
              </w:rPr>
              <w:t>实施团队组建情况及岗位职责分配</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Cs w:val="24"/>
              </w:rPr>
            </w:pPr>
            <w:r>
              <w:rPr>
                <w:rFonts w:ascii="宋体" w:hAnsi="宋体" w:cs="Times New Roman"/>
                <w:szCs w:val="24"/>
              </w:rPr>
              <w:t>10分</w:t>
            </w:r>
          </w:p>
        </w:tc>
        <w:tc>
          <w:tcPr>
            <w:tcW w:w="4320"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bCs/>
                <w:iCs/>
                <w:szCs w:val="24"/>
              </w:rPr>
            </w:pPr>
            <w:r>
              <w:rPr>
                <w:rFonts w:ascii="宋体" w:hAnsi="宋体" w:cs="Times New Roman"/>
                <w:bCs/>
                <w:iCs/>
                <w:szCs w:val="24"/>
              </w:rPr>
              <w:t>综合考虑供应商拟派</w:t>
            </w:r>
            <w:r>
              <w:rPr>
                <w:rFonts w:ascii="宋体" w:hAnsi="宋体" w:cs="Times New Roman"/>
                <w:szCs w:val="24"/>
              </w:rPr>
              <w:t>团队其他成员</w:t>
            </w:r>
            <w:r>
              <w:rPr>
                <w:rFonts w:ascii="宋体" w:hAnsi="宋体" w:cs="Times New Roman"/>
                <w:bCs/>
                <w:iCs/>
                <w:szCs w:val="24"/>
              </w:rPr>
              <w:t>的经验及能力：</w:t>
            </w:r>
          </w:p>
          <w:p>
            <w:pPr>
              <w:adjustRightInd w:val="0"/>
              <w:snapToGrid w:val="0"/>
              <w:jc w:val="left"/>
              <w:rPr>
                <w:rFonts w:ascii="宋体" w:hAnsi="宋体" w:cs="Times New Roman"/>
                <w:szCs w:val="24"/>
              </w:rPr>
            </w:pPr>
            <w:r>
              <w:rPr>
                <w:rFonts w:ascii="宋体" w:hAnsi="宋体" w:cs="Times New Roman"/>
                <w:szCs w:val="24"/>
              </w:rPr>
              <w:t>人员组成科学合理，人员综合素质高、能力和专业性强，职责分工清晰明确，经验丰富的，得</w:t>
            </w:r>
            <w:r>
              <w:rPr>
                <w:rFonts w:hint="eastAsia" w:ascii="宋体" w:hAnsi="宋体" w:cs="Times New Roman"/>
                <w:szCs w:val="24"/>
              </w:rPr>
              <w:t>15</w:t>
            </w:r>
            <w:r>
              <w:rPr>
                <w:rFonts w:ascii="宋体" w:hAnsi="宋体" w:cs="Times New Roman"/>
                <w:szCs w:val="24"/>
              </w:rPr>
              <w:t>分；</w:t>
            </w:r>
          </w:p>
          <w:p>
            <w:pPr>
              <w:adjustRightInd w:val="0"/>
              <w:snapToGrid w:val="0"/>
              <w:jc w:val="left"/>
              <w:rPr>
                <w:rFonts w:ascii="宋体" w:hAnsi="宋体" w:cs="Times New Roman"/>
                <w:szCs w:val="24"/>
              </w:rPr>
            </w:pPr>
            <w:r>
              <w:rPr>
                <w:rFonts w:ascii="宋体" w:hAnsi="宋体" w:cs="Times New Roman"/>
                <w:szCs w:val="24"/>
              </w:rPr>
              <w:t>人员组成科学合理性有所欠缺，人员综合素质一般、能力和专业性一般，职责分工一般，人员经验一般的，得10分；</w:t>
            </w:r>
          </w:p>
          <w:p>
            <w:pPr>
              <w:adjustRightInd w:val="0"/>
              <w:snapToGrid w:val="0"/>
              <w:jc w:val="left"/>
              <w:rPr>
                <w:rFonts w:ascii="宋体" w:hAnsi="宋体" w:cs="Times New Roman"/>
                <w:szCs w:val="24"/>
              </w:rPr>
            </w:pPr>
            <w:r>
              <w:rPr>
                <w:rFonts w:ascii="宋体" w:hAnsi="宋体" w:cs="Times New Roman"/>
                <w:szCs w:val="24"/>
              </w:rPr>
              <w:t>人员组成科学合理性较差，人员综合素质一般、能力和专业性较差，职责分工不明确，人员经验欠缺的，得5分；</w:t>
            </w:r>
          </w:p>
          <w:p>
            <w:pPr>
              <w:widowControl/>
              <w:rPr>
                <w:rFonts w:ascii="宋体" w:hAnsi="宋体" w:cs="Times New Roman"/>
                <w:szCs w:val="24"/>
              </w:rPr>
            </w:pPr>
            <w:r>
              <w:rPr>
                <w:rFonts w:ascii="宋体" w:hAnsi="宋体" w:cs="Times New Roman"/>
                <w:szCs w:val="24"/>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20" w:type="dxa"/>
            <w:vMerge w:val="continue"/>
            <w:tcBorders>
              <w:left w:val="single" w:color="auto" w:sz="4" w:space="0"/>
              <w:right w:val="single" w:color="auto" w:sz="4" w:space="0"/>
            </w:tcBorders>
            <w:vAlign w:val="center"/>
          </w:tcPr>
          <w:p>
            <w:pPr>
              <w:widowControl/>
              <w:jc w:val="center"/>
              <w:rPr>
                <w:rFonts w:ascii="宋体" w:hAnsi="宋体" w:cs="Times New Roman"/>
                <w:szCs w:val="24"/>
              </w:rPr>
            </w:pPr>
          </w:p>
        </w:tc>
        <w:tc>
          <w:tcPr>
            <w:tcW w:w="1800" w:type="dxa"/>
            <w:vMerge w:val="continue"/>
            <w:tcBorders>
              <w:left w:val="single" w:color="auto" w:sz="4" w:space="0"/>
              <w:right w:val="single" w:color="auto" w:sz="4" w:space="0"/>
            </w:tcBorders>
            <w:vAlign w:val="center"/>
          </w:tcPr>
          <w:p>
            <w:pPr>
              <w:widowControl/>
              <w:jc w:val="center"/>
              <w:rPr>
                <w:rFonts w:ascii="宋体" w:hAnsi="宋体" w:cs="Times New Roman"/>
                <w:szCs w:val="24"/>
              </w:rPr>
            </w:pPr>
          </w:p>
        </w:tc>
        <w:tc>
          <w:tcPr>
            <w:tcW w:w="1784" w:type="dxa"/>
            <w:tcBorders>
              <w:top w:val="single" w:color="auto" w:sz="4" w:space="0"/>
              <w:left w:val="single" w:color="auto" w:sz="4" w:space="0"/>
              <w:right w:val="single" w:color="auto" w:sz="4" w:space="0"/>
            </w:tcBorders>
            <w:vAlign w:val="center"/>
          </w:tcPr>
          <w:p>
            <w:pPr>
              <w:jc w:val="center"/>
              <w:rPr>
                <w:rFonts w:hint="eastAsia" w:ascii="宋体" w:hAnsi="宋体" w:cs="Times New Roman"/>
                <w:szCs w:val="24"/>
              </w:rPr>
            </w:pPr>
            <w:r>
              <w:rPr>
                <w:rFonts w:hint="eastAsia" w:ascii="宋体" w:hAnsi="宋体" w:cs="Times New Roman"/>
                <w:szCs w:val="24"/>
              </w:rPr>
              <w:t>系统维护服务管理流程</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szCs w:val="24"/>
              </w:rPr>
            </w:pPr>
            <w:r>
              <w:rPr>
                <w:rFonts w:ascii="宋体" w:hAnsi="宋体" w:cs="Times New Roman"/>
                <w:szCs w:val="24"/>
              </w:rPr>
              <w:t>5</w:t>
            </w:r>
            <w:r>
              <w:rPr>
                <w:rFonts w:hint="eastAsia" w:ascii="宋体" w:hAnsi="宋体" w:cs="Times New Roman"/>
                <w:szCs w:val="24"/>
              </w:rPr>
              <w:t>分</w:t>
            </w:r>
          </w:p>
        </w:tc>
        <w:tc>
          <w:tcPr>
            <w:tcW w:w="43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Times New Roman"/>
                <w:szCs w:val="24"/>
              </w:rPr>
            </w:pPr>
            <w:r>
              <w:rPr>
                <w:rFonts w:hint="eastAsia" w:ascii="宋体" w:hAnsi="宋体" w:cs="Times New Roman"/>
                <w:szCs w:val="24"/>
              </w:rPr>
              <w:t>根据投标人针对本项目提供的系统维护服务管理流程由评委进行评分：</w:t>
            </w:r>
          </w:p>
          <w:p>
            <w:pPr>
              <w:widowControl/>
              <w:rPr>
                <w:rFonts w:ascii="宋体" w:hAnsi="宋体" w:cs="Times New Roman"/>
                <w:szCs w:val="24"/>
              </w:rPr>
            </w:pPr>
            <w:r>
              <w:rPr>
                <w:rFonts w:hint="eastAsia" w:ascii="宋体" w:hAnsi="宋体" w:cs="Times New Roman"/>
                <w:szCs w:val="24"/>
              </w:rPr>
              <w:t>流程内容详实、完整、可操作性强的得</w:t>
            </w:r>
            <w:r>
              <w:rPr>
                <w:rFonts w:ascii="宋体" w:hAnsi="宋体" w:cs="Times New Roman"/>
                <w:szCs w:val="24"/>
              </w:rPr>
              <w:t>5分；</w:t>
            </w:r>
          </w:p>
          <w:p>
            <w:pPr>
              <w:widowControl/>
              <w:rPr>
                <w:rFonts w:ascii="宋体" w:hAnsi="宋体" w:cs="Times New Roman"/>
                <w:szCs w:val="24"/>
              </w:rPr>
            </w:pPr>
            <w:r>
              <w:rPr>
                <w:rFonts w:ascii="宋体" w:hAnsi="宋体" w:cs="Times New Roman"/>
                <w:szCs w:val="24"/>
              </w:rPr>
              <w:t>流程内容部分详实或部分内容可操作得3分；</w:t>
            </w:r>
          </w:p>
          <w:p>
            <w:pPr>
              <w:widowControl/>
              <w:rPr>
                <w:rFonts w:ascii="宋体" w:hAnsi="宋体" w:cs="Times New Roman"/>
                <w:szCs w:val="24"/>
              </w:rPr>
            </w:pPr>
            <w:r>
              <w:rPr>
                <w:rFonts w:ascii="宋体" w:hAnsi="宋体" w:cs="Times New Roman"/>
                <w:szCs w:val="24"/>
              </w:rPr>
              <w:t>流程内容阐述简短或无实质内容的得1分；</w:t>
            </w:r>
          </w:p>
          <w:p>
            <w:pPr>
              <w:widowControl/>
              <w:rPr>
                <w:rFonts w:hint="eastAsia" w:ascii="宋体" w:hAnsi="宋体" w:cs="Times New Roman"/>
                <w:szCs w:val="24"/>
              </w:rPr>
            </w:pPr>
            <w:r>
              <w:rPr>
                <w:rFonts w:ascii="宋体" w:hAnsi="宋体" w:cs="Times New Roman"/>
                <w:szCs w:val="24"/>
              </w:rPr>
              <w:t>未提供或不合理的不得分。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20" w:type="dxa"/>
            <w:vMerge w:val="continue"/>
            <w:tcBorders>
              <w:left w:val="single" w:color="auto" w:sz="4" w:space="0"/>
              <w:right w:val="single" w:color="auto" w:sz="4" w:space="0"/>
            </w:tcBorders>
            <w:vAlign w:val="center"/>
          </w:tcPr>
          <w:p>
            <w:pPr>
              <w:widowControl/>
              <w:jc w:val="center"/>
              <w:rPr>
                <w:rFonts w:ascii="宋体" w:hAnsi="宋体" w:cs="Times New Roman"/>
                <w:szCs w:val="24"/>
              </w:rPr>
            </w:pPr>
          </w:p>
        </w:tc>
        <w:tc>
          <w:tcPr>
            <w:tcW w:w="1800" w:type="dxa"/>
            <w:vMerge w:val="continue"/>
            <w:tcBorders>
              <w:left w:val="single" w:color="auto" w:sz="4" w:space="0"/>
              <w:right w:val="single" w:color="auto" w:sz="4" w:space="0"/>
            </w:tcBorders>
            <w:vAlign w:val="center"/>
          </w:tcPr>
          <w:p>
            <w:pPr>
              <w:widowControl/>
              <w:jc w:val="center"/>
              <w:rPr>
                <w:rFonts w:ascii="宋体" w:hAnsi="宋体" w:cs="Times New Roman"/>
                <w:szCs w:val="24"/>
              </w:rPr>
            </w:pPr>
          </w:p>
        </w:tc>
        <w:tc>
          <w:tcPr>
            <w:tcW w:w="1784" w:type="dxa"/>
            <w:tcBorders>
              <w:top w:val="single" w:color="auto" w:sz="4" w:space="0"/>
              <w:left w:val="single" w:color="auto" w:sz="4" w:space="0"/>
              <w:right w:val="single" w:color="auto" w:sz="4" w:space="0"/>
            </w:tcBorders>
            <w:vAlign w:val="center"/>
          </w:tcPr>
          <w:p>
            <w:pPr>
              <w:jc w:val="center"/>
              <w:rPr>
                <w:rFonts w:ascii="宋体" w:hAnsi="宋体" w:cs="Times New Roman"/>
                <w:szCs w:val="24"/>
              </w:rPr>
            </w:pPr>
            <w:r>
              <w:rPr>
                <w:rFonts w:hint="eastAsia" w:ascii="宋体" w:hAnsi="宋体" w:cs="Times New Roman"/>
                <w:szCs w:val="24"/>
              </w:rPr>
              <w:t>风险管理方案</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Cs w:val="24"/>
              </w:rPr>
            </w:pPr>
            <w:r>
              <w:rPr>
                <w:rFonts w:ascii="宋体" w:hAnsi="宋体" w:cs="Times New Roman"/>
                <w:szCs w:val="24"/>
              </w:rPr>
              <w:t>5</w:t>
            </w:r>
            <w:r>
              <w:rPr>
                <w:rFonts w:hint="eastAsia" w:ascii="宋体" w:hAnsi="宋体" w:cs="Times New Roman"/>
                <w:szCs w:val="24"/>
              </w:rPr>
              <w:t>分</w:t>
            </w:r>
          </w:p>
        </w:tc>
        <w:tc>
          <w:tcPr>
            <w:tcW w:w="43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Times New Roman"/>
                <w:szCs w:val="24"/>
              </w:rPr>
            </w:pPr>
            <w:r>
              <w:rPr>
                <w:rFonts w:hint="eastAsia" w:ascii="宋体" w:hAnsi="宋体" w:cs="Times New Roman"/>
                <w:szCs w:val="24"/>
              </w:rPr>
              <w:t>根据投标人针对本项目提供的监管措施、质量保障、信息安全措施、风险管理方案由评委进行评分：</w:t>
            </w:r>
          </w:p>
          <w:p>
            <w:pPr>
              <w:widowControl/>
              <w:rPr>
                <w:rFonts w:ascii="宋体" w:hAnsi="宋体" w:cs="Times New Roman"/>
                <w:szCs w:val="24"/>
              </w:rPr>
            </w:pPr>
            <w:r>
              <w:rPr>
                <w:rFonts w:hint="eastAsia" w:ascii="宋体" w:hAnsi="宋体" w:cs="Times New Roman"/>
                <w:szCs w:val="24"/>
              </w:rPr>
              <w:t>方案内容详实、完整、可操作性强的得</w:t>
            </w:r>
            <w:r>
              <w:rPr>
                <w:rFonts w:ascii="宋体" w:hAnsi="宋体" w:cs="Times New Roman"/>
                <w:szCs w:val="24"/>
              </w:rPr>
              <w:t>5分；</w:t>
            </w:r>
          </w:p>
          <w:p>
            <w:pPr>
              <w:widowControl/>
              <w:rPr>
                <w:rFonts w:ascii="宋体" w:hAnsi="宋体" w:cs="Times New Roman"/>
                <w:szCs w:val="24"/>
              </w:rPr>
            </w:pPr>
            <w:r>
              <w:rPr>
                <w:rFonts w:ascii="宋体" w:hAnsi="宋体" w:cs="Times New Roman"/>
                <w:szCs w:val="24"/>
              </w:rPr>
              <w:t>方案内容部分详实或部分内容可操作得3分；</w:t>
            </w:r>
          </w:p>
          <w:p>
            <w:pPr>
              <w:widowControl/>
              <w:rPr>
                <w:rFonts w:ascii="宋体" w:hAnsi="宋体" w:cs="Times New Roman"/>
                <w:szCs w:val="24"/>
              </w:rPr>
            </w:pPr>
            <w:r>
              <w:rPr>
                <w:rFonts w:ascii="宋体" w:hAnsi="宋体" w:cs="Times New Roman"/>
                <w:szCs w:val="24"/>
              </w:rPr>
              <w:t>方案内容阐述简短或无实质内容的得1分；</w:t>
            </w:r>
          </w:p>
          <w:p>
            <w:pPr>
              <w:widowControl/>
              <w:rPr>
                <w:rFonts w:ascii="宋体" w:hAnsi="宋体" w:cs="Times New Roman"/>
                <w:szCs w:val="24"/>
              </w:rPr>
            </w:pPr>
            <w:r>
              <w:rPr>
                <w:rFonts w:ascii="宋体" w:hAnsi="宋体" w:cs="Times New Roman"/>
                <w:szCs w:val="24"/>
              </w:rPr>
              <w:t>未提供或不合理的不得分。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720" w:type="dxa"/>
            <w:vMerge w:val="continue"/>
            <w:tcBorders>
              <w:left w:val="single" w:color="auto" w:sz="4" w:space="0"/>
              <w:right w:val="single" w:color="auto" w:sz="4" w:space="0"/>
            </w:tcBorders>
            <w:vAlign w:val="center"/>
          </w:tcPr>
          <w:p>
            <w:pPr>
              <w:widowControl/>
              <w:jc w:val="center"/>
              <w:rPr>
                <w:rFonts w:ascii="宋体" w:hAnsi="宋体" w:cs="Times New Roman"/>
                <w:szCs w:val="24"/>
              </w:rPr>
            </w:pPr>
          </w:p>
        </w:tc>
        <w:tc>
          <w:tcPr>
            <w:tcW w:w="1800" w:type="dxa"/>
            <w:vMerge w:val="continue"/>
            <w:tcBorders>
              <w:left w:val="single" w:color="auto" w:sz="4" w:space="0"/>
              <w:right w:val="single" w:color="auto" w:sz="4" w:space="0"/>
            </w:tcBorders>
            <w:vAlign w:val="center"/>
          </w:tcPr>
          <w:p>
            <w:pPr>
              <w:widowControl/>
              <w:jc w:val="center"/>
              <w:rPr>
                <w:rFonts w:ascii="宋体" w:hAnsi="宋体" w:cs="Times New Roman"/>
                <w:szCs w:val="24"/>
              </w:rPr>
            </w:pPr>
          </w:p>
        </w:tc>
        <w:tc>
          <w:tcPr>
            <w:tcW w:w="1784" w:type="dxa"/>
            <w:tcBorders>
              <w:top w:val="single" w:color="auto" w:sz="4" w:space="0"/>
              <w:left w:val="single" w:color="auto" w:sz="4" w:space="0"/>
              <w:right w:val="single" w:color="auto" w:sz="4" w:space="0"/>
            </w:tcBorders>
            <w:vAlign w:val="center"/>
          </w:tcPr>
          <w:p>
            <w:pPr>
              <w:jc w:val="center"/>
              <w:rPr>
                <w:rFonts w:ascii="宋体" w:hAnsi="宋体" w:cs="Times New Roman"/>
                <w:szCs w:val="24"/>
              </w:rPr>
            </w:pPr>
            <w:r>
              <w:rPr>
                <w:rFonts w:hint="eastAsia" w:ascii="宋体" w:hAnsi="宋体" w:cs="Times New Roman"/>
                <w:szCs w:val="24"/>
              </w:rPr>
              <w:t>应急预案</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szCs w:val="24"/>
              </w:rPr>
            </w:pPr>
            <w:r>
              <w:rPr>
                <w:rFonts w:ascii="宋体" w:hAnsi="宋体" w:cs="Times New Roman"/>
                <w:szCs w:val="24"/>
              </w:rPr>
              <w:t>5</w:t>
            </w:r>
            <w:r>
              <w:rPr>
                <w:rFonts w:hint="eastAsia" w:ascii="宋体" w:hAnsi="宋体" w:cs="Times New Roman"/>
                <w:szCs w:val="24"/>
              </w:rPr>
              <w:t>分</w:t>
            </w:r>
          </w:p>
        </w:tc>
        <w:tc>
          <w:tcPr>
            <w:tcW w:w="4320" w:type="dxa"/>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szCs w:val="24"/>
              </w:rPr>
            </w:pPr>
            <w:r>
              <w:rPr>
                <w:rFonts w:hint="eastAsia" w:ascii="宋体" w:hAnsi="宋体" w:cs="Times New Roman"/>
                <w:szCs w:val="24"/>
              </w:rPr>
              <w:t>根据投标人针对本项目提供的应急预案由评委进行评分：</w:t>
            </w:r>
          </w:p>
          <w:p>
            <w:pPr>
              <w:rPr>
                <w:rFonts w:ascii="宋体" w:hAnsi="宋体" w:cs="Times New Roman"/>
                <w:szCs w:val="24"/>
              </w:rPr>
            </w:pPr>
            <w:r>
              <w:rPr>
                <w:rFonts w:hint="eastAsia" w:ascii="宋体" w:hAnsi="宋体" w:cs="Times New Roman"/>
                <w:szCs w:val="24"/>
              </w:rPr>
              <w:t>方案内容详实、完整、可操作性强的得</w:t>
            </w:r>
            <w:r>
              <w:rPr>
                <w:rFonts w:ascii="宋体" w:hAnsi="宋体" w:cs="Times New Roman"/>
                <w:szCs w:val="24"/>
              </w:rPr>
              <w:t>5分；</w:t>
            </w:r>
          </w:p>
          <w:p>
            <w:pPr>
              <w:rPr>
                <w:rFonts w:ascii="宋体" w:hAnsi="宋体" w:cs="Times New Roman"/>
                <w:szCs w:val="24"/>
              </w:rPr>
            </w:pPr>
            <w:r>
              <w:rPr>
                <w:rFonts w:ascii="宋体" w:hAnsi="宋体" w:cs="Times New Roman"/>
                <w:szCs w:val="24"/>
              </w:rPr>
              <w:t>方案内容部分详实或部分内容可操作得3分；</w:t>
            </w:r>
          </w:p>
          <w:p>
            <w:pPr>
              <w:rPr>
                <w:rFonts w:ascii="宋体" w:hAnsi="宋体" w:cs="Times New Roman"/>
                <w:szCs w:val="24"/>
              </w:rPr>
            </w:pPr>
            <w:r>
              <w:rPr>
                <w:rFonts w:ascii="宋体" w:hAnsi="宋体" w:cs="Times New Roman"/>
                <w:szCs w:val="24"/>
              </w:rPr>
              <w:t>方案内容阐述简短或无实质内容的得1分；</w:t>
            </w:r>
          </w:p>
          <w:p>
            <w:pPr>
              <w:rPr>
                <w:rFonts w:ascii="宋体" w:hAnsi="宋体" w:cs="Times New Roman"/>
                <w:szCs w:val="24"/>
              </w:rPr>
            </w:pPr>
            <w:r>
              <w:rPr>
                <w:rFonts w:ascii="宋体" w:hAnsi="宋体" w:cs="Times New Roman"/>
                <w:szCs w:val="24"/>
              </w:rPr>
              <w:t>未提供或不合理的不得分。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jc w:val="center"/>
        </w:trPr>
        <w:tc>
          <w:tcPr>
            <w:tcW w:w="720" w:type="dxa"/>
            <w:tcBorders>
              <w:top w:val="single" w:color="auto" w:sz="4" w:space="0"/>
              <w:left w:val="single" w:color="auto" w:sz="4" w:space="0"/>
              <w:right w:val="single" w:color="auto" w:sz="4" w:space="0"/>
            </w:tcBorders>
            <w:vAlign w:val="center"/>
          </w:tcPr>
          <w:p>
            <w:pPr>
              <w:jc w:val="center"/>
              <w:rPr>
                <w:rFonts w:ascii="宋体" w:hAnsi="宋体" w:cs="Times New Roman"/>
                <w:szCs w:val="24"/>
              </w:rPr>
            </w:pPr>
            <w:r>
              <w:rPr>
                <w:rFonts w:ascii="宋体" w:hAnsi="宋体" w:cs="Times New Roman"/>
                <w:szCs w:val="24"/>
              </w:rPr>
              <w:t>3</w:t>
            </w:r>
          </w:p>
        </w:tc>
        <w:tc>
          <w:tcPr>
            <w:tcW w:w="1800" w:type="dxa"/>
            <w:tcBorders>
              <w:top w:val="single" w:color="auto" w:sz="4" w:space="0"/>
              <w:left w:val="single" w:color="auto" w:sz="4" w:space="0"/>
              <w:right w:val="single" w:color="auto" w:sz="4" w:space="0"/>
            </w:tcBorders>
            <w:vAlign w:val="center"/>
          </w:tcPr>
          <w:p>
            <w:pPr>
              <w:jc w:val="center"/>
              <w:rPr>
                <w:rFonts w:ascii="宋体" w:hAnsi="宋体" w:cs="Times New Roman"/>
                <w:szCs w:val="24"/>
              </w:rPr>
            </w:pPr>
            <w:r>
              <w:rPr>
                <w:rFonts w:ascii="宋体" w:hAnsi="宋体" w:cs="Times New Roman"/>
                <w:szCs w:val="24"/>
              </w:rPr>
              <w:t>价格</w:t>
            </w:r>
          </w:p>
          <w:p>
            <w:pPr>
              <w:jc w:val="center"/>
              <w:rPr>
                <w:rFonts w:ascii="宋体" w:hAnsi="宋体" w:cs="Times New Roman"/>
                <w:szCs w:val="24"/>
              </w:rPr>
            </w:pPr>
            <w:r>
              <w:rPr>
                <w:rFonts w:ascii="宋体" w:hAnsi="宋体" w:cs="Times New Roman"/>
                <w:szCs w:val="24"/>
              </w:rPr>
              <w:t>（10分）</w:t>
            </w:r>
          </w:p>
        </w:tc>
        <w:tc>
          <w:tcPr>
            <w:tcW w:w="684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Times New Roman"/>
                <w:szCs w:val="24"/>
              </w:rPr>
            </w:pPr>
            <w:r>
              <w:rPr>
                <w:rFonts w:hint="eastAsia" w:ascii="宋体" w:hAnsi="宋体" w:cs="Times New Roman"/>
                <w:szCs w:val="24"/>
              </w:rPr>
              <w:t>比选</w:t>
            </w:r>
            <w:r>
              <w:rPr>
                <w:rFonts w:ascii="宋体" w:hAnsi="宋体" w:cs="Times New Roman"/>
                <w:szCs w:val="24"/>
              </w:rPr>
              <w:t>基准价=满足</w:t>
            </w:r>
            <w:r>
              <w:rPr>
                <w:rFonts w:hint="eastAsia" w:ascii="宋体" w:hAnsi="宋体" w:cs="Times New Roman"/>
                <w:szCs w:val="24"/>
              </w:rPr>
              <w:t>比选</w:t>
            </w:r>
            <w:r>
              <w:rPr>
                <w:rFonts w:ascii="宋体" w:hAnsi="宋体" w:cs="Times New Roman"/>
                <w:szCs w:val="24"/>
              </w:rPr>
              <w:t>文件要求且最后报价最低的评审价格</w:t>
            </w:r>
          </w:p>
          <w:p>
            <w:pPr>
              <w:rPr>
                <w:rFonts w:ascii="宋体" w:hAnsi="宋体" w:cs="Times New Roman"/>
                <w:szCs w:val="24"/>
              </w:rPr>
            </w:pPr>
            <w:r>
              <w:rPr>
                <w:rFonts w:ascii="宋体" w:hAnsi="宋体" w:cs="Times New Roman"/>
                <w:szCs w:val="24"/>
              </w:rPr>
              <w:t>合格供应商的有效</w:t>
            </w:r>
            <w:r>
              <w:rPr>
                <w:rFonts w:hint="eastAsia" w:ascii="宋体" w:hAnsi="宋体" w:cs="Times New Roman"/>
                <w:szCs w:val="24"/>
              </w:rPr>
              <w:t>比选</w:t>
            </w:r>
            <w:r>
              <w:rPr>
                <w:rFonts w:ascii="宋体" w:hAnsi="宋体" w:cs="Times New Roman"/>
                <w:szCs w:val="24"/>
              </w:rPr>
              <w:t>报价得分=（</w:t>
            </w:r>
            <w:r>
              <w:rPr>
                <w:rFonts w:hint="eastAsia" w:ascii="宋体" w:hAnsi="宋体" w:cs="Times New Roman"/>
                <w:szCs w:val="24"/>
              </w:rPr>
              <w:t>比选</w:t>
            </w:r>
            <w:r>
              <w:rPr>
                <w:rFonts w:ascii="宋体" w:hAnsi="宋体" w:cs="Times New Roman"/>
                <w:szCs w:val="24"/>
              </w:rPr>
              <w:t>基准价/最后综合单价）×10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9360" w:type="dxa"/>
            <w:gridSpan w:val="5"/>
            <w:tcBorders>
              <w:left w:val="single" w:color="auto" w:sz="4" w:space="0"/>
              <w:right w:val="single" w:color="auto" w:sz="4" w:space="0"/>
            </w:tcBorders>
            <w:vAlign w:val="center"/>
          </w:tcPr>
          <w:p>
            <w:pPr>
              <w:widowControl/>
              <w:ind w:left="82" w:leftChars="34" w:firstLine="1"/>
              <w:jc w:val="center"/>
              <w:rPr>
                <w:rFonts w:ascii="宋体" w:hAnsi="宋体" w:cs="Times New Roman"/>
                <w:szCs w:val="24"/>
              </w:rPr>
            </w:pPr>
            <w:r>
              <w:rPr>
                <w:rFonts w:ascii="宋体" w:hAnsi="宋体" w:cs="Times New Roman"/>
                <w:szCs w:val="24"/>
              </w:rPr>
              <w:t>合计100分</w:t>
            </w:r>
          </w:p>
        </w:tc>
      </w:tr>
    </w:tbl>
    <w:p>
      <w:pPr>
        <w:spacing w:line="360" w:lineRule="auto"/>
        <w:rPr>
          <w:rFonts w:ascii="Times New Roman" w:hAnsi="Times New Roman" w:eastAsia="仿宋" w:cs="Times New Roman"/>
          <w:b/>
          <w:kern w:val="0"/>
          <w:szCs w:val="24"/>
        </w:rPr>
      </w:pPr>
    </w:p>
    <w:p>
      <w:pPr>
        <w:spacing w:line="360" w:lineRule="auto"/>
        <w:rPr>
          <w:rFonts w:hint="eastAsia" w:ascii="宋体" w:hAnsi="宋体" w:cs="Times New Roman"/>
          <w:b/>
          <w:kern w:val="0"/>
          <w:szCs w:val="24"/>
        </w:rPr>
      </w:pPr>
      <w:r>
        <w:rPr>
          <w:rFonts w:ascii="宋体" w:hAnsi="宋体" w:cs="Times New Roman"/>
          <w:b/>
          <w:kern w:val="0"/>
          <w:szCs w:val="24"/>
        </w:rPr>
        <w:t>注：评分分值计算保留小数点后两位，小数点后第三位“四舍五入”。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E0E41"/>
    <w:multiLevelType w:val="multilevel"/>
    <w:tmpl w:val="63DE0E41"/>
    <w:lvl w:ilvl="0" w:tentative="0">
      <w:start w:val="1"/>
      <w:numFmt w:val="chineseCountingThousand"/>
      <w:pStyle w:val="2"/>
      <w:suff w:val="space"/>
      <w:lvlText w:val="%1、"/>
      <w:lvlJc w:val="left"/>
      <w:pPr>
        <w:ind w:left="709" w:hanging="709"/>
      </w:pPr>
      <w:rPr>
        <w:rFonts w:hint="eastAsia"/>
      </w:rPr>
    </w:lvl>
    <w:lvl w:ilvl="1" w:tentative="0">
      <w:start w:val="1"/>
      <w:numFmt w:val="decimal"/>
      <w:pStyle w:val="3"/>
      <w:isLgl/>
      <w:suff w:val="space"/>
      <w:lvlText w:val="%1.%2  "/>
      <w:lvlJc w:val="left"/>
      <w:pPr>
        <w:ind w:left="709" w:hanging="709"/>
      </w:pPr>
      <w:rPr>
        <w:rFonts w:ascii="宋体" w:hAnsi="宋体" w:eastAsia="宋体"/>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pStyle w:val="4"/>
      <w:isLgl/>
      <w:suff w:val="space"/>
      <w:lvlText w:val="%1.%2.%3 "/>
      <w:lvlJc w:val="left"/>
      <w:pPr>
        <w:ind w:left="709" w:hanging="709"/>
      </w:pPr>
      <w:rPr>
        <w:rFonts w:ascii="宋体" w:hAnsi="宋体" w:eastAsia="宋体" w:cs="Times New Roman"/>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5"/>
      <w:isLgl/>
      <w:suff w:val="space"/>
      <w:lvlText w:val="%1.%2.%3.%4 "/>
      <w:lvlJc w:val="left"/>
      <w:pPr>
        <w:ind w:left="709" w:hanging="709"/>
      </w:pPr>
      <w:rPr>
        <w:rFonts w:cs="Times New Roman"/>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pStyle w:val="6"/>
      <w:isLgl/>
      <w:suff w:val="space"/>
      <w:lvlText w:val="%1.%2.%3.%4.%5 "/>
      <w:lvlJc w:val="left"/>
      <w:pPr>
        <w:ind w:left="709" w:hanging="709"/>
      </w:pPr>
      <w:rPr>
        <w:rFonts w:hint="eastAsia"/>
      </w:rPr>
    </w:lvl>
    <w:lvl w:ilvl="5" w:tentative="0">
      <w:start w:val="1"/>
      <w:numFmt w:val="decimal"/>
      <w:pStyle w:val="7"/>
      <w:isLgl/>
      <w:suff w:val="space"/>
      <w:lvlText w:val="%1.%2.%3.%4.%5.%6 "/>
      <w:lvlJc w:val="left"/>
      <w:pPr>
        <w:ind w:left="709" w:hanging="709"/>
      </w:pPr>
      <w:rPr>
        <w:rFonts w:hint="eastAsia"/>
      </w:rPr>
    </w:lvl>
    <w:lvl w:ilvl="6" w:tentative="0">
      <w:start w:val="1"/>
      <w:numFmt w:val="decimal"/>
      <w:pStyle w:val="8"/>
      <w:isLgl/>
      <w:suff w:val="space"/>
      <w:lvlText w:val="%1.%2.%3.%4.%5.%6.%7 "/>
      <w:lvlJc w:val="left"/>
      <w:pPr>
        <w:ind w:left="709" w:hanging="709"/>
      </w:pPr>
      <w:rPr>
        <w:rFonts w:hint="eastAsia"/>
      </w:rPr>
    </w:lvl>
    <w:lvl w:ilvl="7" w:tentative="0">
      <w:start w:val="1"/>
      <w:numFmt w:val="decimal"/>
      <w:pStyle w:val="9"/>
      <w:isLgl/>
      <w:suff w:val="space"/>
      <w:lvlText w:val="%1.%2.%3.%4.%5.%6.%7.%8 "/>
      <w:lvlJc w:val="left"/>
      <w:pPr>
        <w:ind w:left="709" w:hanging="709"/>
      </w:pPr>
      <w:rPr>
        <w:rFonts w:hint="eastAsia"/>
      </w:rPr>
    </w:lvl>
    <w:lvl w:ilvl="8" w:tentative="0">
      <w:start w:val="1"/>
      <w:numFmt w:val="decimal"/>
      <w:pStyle w:val="10"/>
      <w:isLgl/>
      <w:suff w:val="space"/>
      <w:lvlText w:val="%1.%2.%3.%4.%5.%6.%7.%8.%9 "/>
      <w:lvlJc w:val="left"/>
      <w:pPr>
        <w:ind w:left="709" w:hanging="70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F48"/>
    <w:rsid w:val="000B4E3A"/>
    <w:rsid w:val="001913E9"/>
    <w:rsid w:val="00203A4C"/>
    <w:rsid w:val="00246F48"/>
    <w:rsid w:val="00342839"/>
    <w:rsid w:val="0036082A"/>
    <w:rsid w:val="00373F55"/>
    <w:rsid w:val="003971ED"/>
    <w:rsid w:val="004226D0"/>
    <w:rsid w:val="00455FAD"/>
    <w:rsid w:val="004A01EC"/>
    <w:rsid w:val="00502E57"/>
    <w:rsid w:val="00524A56"/>
    <w:rsid w:val="005700CC"/>
    <w:rsid w:val="005E3DCD"/>
    <w:rsid w:val="005F625D"/>
    <w:rsid w:val="006140AC"/>
    <w:rsid w:val="00623668"/>
    <w:rsid w:val="0064202D"/>
    <w:rsid w:val="006D4AB4"/>
    <w:rsid w:val="007208FA"/>
    <w:rsid w:val="007459C2"/>
    <w:rsid w:val="00775FAD"/>
    <w:rsid w:val="00794AFF"/>
    <w:rsid w:val="007C3E0B"/>
    <w:rsid w:val="007D3CE2"/>
    <w:rsid w:val="008557B1"/>
    <w:rsid w:val="00860243"/>
    <w:rsid w:val="00891CA0"/>
    <w:rsid w:val="00963604"/>
    <w:rsid w:val="009918C6"/>
    <w:rsid w:val="009C1F70"/>
    <w:rsid w:val="00A02567"/>
    <w:rsid w:val="00A05D84"/>
    <w:rsid w:val="00A17CF8"/>
    <w:rsid w:val="00A3610B"/>
    <w:rsid w:val="00A774BD"/>
    <w:rsid w:val="00AA7495"/>
    <w:rsid w:val="00C26E46"/>
    <w:rsid w:val="00C35352"/>
    <w:rsid w:val="00D20FAA"/>
    <w:rsid w:val="00D43437"/>
    <w:rsid w:val="00D55C8A"/>
    <w:rsid w:val="00E06B54"/>
    <w:rsid w:val="00E120D5"/>
    <w:rsid w:val="00F32584"/>
    <w:rsid w:val="00F87BD5"/>
    <w:rsid w:val="017E5B4B"/>
    <w:rsid w:val="5E0A1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4"/>
      <w:szCs w:val="22"/>
      <w:lang w:val="en-US" w:eastAsia="zh-CN" w:bidi="ar-SA"/>
    </w:rPr>
  </w:style>
  <w:style w:type="paragraph" w:styleId="2">
    <w:name w:val="heading 1"/>
    <w:basedOn w:val="1"/>
    <w:next w:val="1"/>
    <w:link w:val="17"/>
    <w:qFormat/>
    <w:uiPriority w:val="9"/>
    <w:pPr>
      <w:keepNext/>
      <w:keepLines/>
      <w:numPr>
        <w:ilvl w:val="0"/>
        <w:numId w:val="1"/>
      </w:numPr>
      <w:spacing w:before="120" w:after="120" w:line="578" w:lineRule="auto"/>
      <w:outlineLvl w:val="0"/>
    </w:pPr>
    <w:rPr>
      <w:b/>
      <w:bCs/>
      <w:kern w:val="44"/>
      <w:sz w:val="36"/>
      <w:szCs w:val="44"/>
    </w:rPr>
  </w:style>
  <w:style w:type="paragraph" w:styleId="3">
    <w:name w:val="heading 2"/>
    <w:basedOn w:val="1"/>
    <w:next w:val="1"/>
    <w:link w:val="18"/>
    <w:unhideWhenUsed/>
    <w:qFormat/>
    <w:uiPriority w:val="9"/>
    <w:pPr>
      <w:keepNext/>
      <w:keepLines/>
      <w:numPr>
        <w:ilvl w:val="1"/>
        <w:numId w:val="1"/>
      </w:numPr>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19"/>
    <w:unhideWhenUsed/>
    <w:qFormat/>
    <w:uiPriority w:val="9"/>
    <w:pPr>
      <w:keepNext/>
      <w:keepLines/>
      <w:numPr>
        <w:ilvl w:val="2"/>
        <w:numId w:val="1"/>
      </w:numPr>
      <w:spacing w:before="260" w:after="260" w:line="416" w:lineRule="auto"/>
      <w:outlineLvl w:val="2"/>
    </w:pPr>
    <w:rPr>
      <w:b/>
      <w:bCs/>
      <w:sz w:val="30"/>
      <w:szCs w:val="32"/>
    </w:rPr>
  </w:style>
  <w:style w:type="paragraph" w:styleId="5">
    <w:name w:val="heading 4"/>
    <w:basedOn w:val="1"/>
    <w:next w:val="1"/>
    <w:link w:val="20"/>
    <w:unhideWhenUsed/>
    <w:qFormat/>
    <w:uiPriority w:val="9"/>
    <w:pPr>
      <w:keepNext/>
      <w:keepLines/>
      <w:numPr>
        <w:ilvl w:val="3"/>
        <w:numId w:val="1"/>
      </w:numPr>
      <w:spacing w:before="280" w:after="290" w:line="376" w:lineRule="auto"/>
      <w:outlineLvl w:val="3"/>
    </w:pPr>
    <w:rPr>
      <w:rFonts w:asciiTheme="majorHAnsi" w:hAnsiTheme="majorHAnsi" w:cstheme="majorBidi"/>
      <w:b/>
      <w:bCs/>
      <w:sz w:val="28"/>
      <w:szCs w:val="28"/>
    </w:rPr>
  </w:style>
  <w:style w:type="paragraph" w:styleId="6">
    <w:name w:val="heading 5"/>
    <w:basedOn w:val="1"/>
    <w:next w:val="1"/>
    <w:link w:val="21"/>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22"/>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Cs w:val="24"/>
    </w:rPr>
  </w:style>
  <w:style w:type="paragraph" w:styleId="8">
    <w:name w:val="heading 7"/>
    <w:basedOn w:val="1"/>
    <w:next w:val="1"/>
    <w:link w:val="23"/>
    <w:unhideWhenUsed/>
    <w:qFormat/>
    <w:uiPriority w:val="9"/>
    <w:pPr>
      <w:keepNext/>
      <w:keepLines/>
      <w:numPr>
        <w:ilvl w:val="6"/>
        <w:numId w:val="1"/>
      </w:numPr>
      <w:spacing w:before="240" w:after="64" w:line="320" w:lineRule="auto"/>
      <w:outlineLvl w:val="6"/>
    </w:pPr>
    <w:rPr>
      <w:b/>
      <w:bCs/>
      <w:szCs w:val="24"/>
    </w:rPr>
  </w:style>
  <w:style w:type="paragraph" w:styleId="9">
    <w:name w:val="heading 8"/>
    <w:basedOn w:val="1"/>
    <w:next w:val="1"/>
    <w:link w:val="24"/>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25"/>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 w:val="21"/>
      <w:szCs w:val="21"/>
    </w:rPr>
  </w:style>
  <w:style w:type="character" w:default="1" w:styleId="13">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11">
    <w:name w:val="footer"/>
    <w:basedOn w:val="1"/>
    <w:link w:val="16"/>
    <w:unhideWhenUsed/>
    <w:qFormat/>
    <w:uiPriority w:val="99"/>
    <w:pPr>
      <w:tabs>
        <w:tab w:val="center" w:pos="4153"/>
        <w:tab w:val="right" w:pos="8306"/>
      </w:tabs>
      <w:snapToGrid w:val="0"/>
      <w:jc w:val="left"/>
    </w:pPr>
    <w:rPr>
      <w:sz w:val="18"/>
      <w:szCs w:val="18"/>
    </w:rPr>
  </w:style>
  <w:style w:type="paragraph" w:styleId="12">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5">
    <w:name w:val="页眉 字符"/>
    <w:basedOn w:val="13"/>
    <w:link w:val="12"/>
    <w:qFormat/>
    <w:uiPriority w:val="99"/>
    <w:rPr>
      <w:rFonts w:eastAsia="宋体"/>
      <w:sz w:val="18"/>
      <w:szCs w:val="18"/>
    </w:rPr>
  </w:style>
  <w:style w:type="character" w:customStyle="1" w:styleId="16">
    <w:name w:val="页脚 字符"/>
    <w:basedOn w:val="13"/>
    <w:link w:val="11"/>
    <w:qFormat/>
    <w:uiPriority w:val="99"/>
    <w:rPr>
      <w:rFonts w:eastAsia="宋体"/>
      <w:sz w:val="18"/>
      <w:szCs w:val="18"/>
    </w:rPr>
  </w:style>
  <w:style w:type="character" w:customStyle="1" w:styleId="17">
    <w:name w:val="标题 1 字符"/>
    <w:basedOn w:val="13"/>
    <w:link w:val="2"/>
    <w:qFormat/>
    <w:uiPriority w:val="9"/>
    <w:rPr>
      <w:rFonts w:eastAsia="宋体"/>
      <w:b/>
      <w:bCs/>
      <w:kern w:val="44"/>
      <w:sz w:val="36"/>
      <w:szCs w:val="44"/>
    </w:rPr>
  </w:style>
  <w:style w:type="character" w:customStyle="1" w:styleId="18">
    <w:name w:val="标题 2 字符"/>
    <w:basedOn w:val="13"/>
    <w:link w:val="3"/>
    <w:qFormat/>
    <w:uiPriority w:val="9"/>
    <w:rPr>
      <w:rFonts w:eastAsia="宋体" w:asciiTheme="majorHAnsi" w:hAnsiTheme="majorHAnsi" w:cstheme="majorBidi"/>
      <w:b/>
      <w:bCs/>
      <w:sz w:val="32"/>
      <w:szCs w:val="32"/>
    </w:rPr>
  </w:style>
  <w:style w:type="character" w:customStyle="1" w:styleId="19">
    <w:name w:val="标题 3 字符"/>
    <w:basedOn w:val="13"/>
    <w:link w:val="4"/>
    <w:qFormat/>
    <w:uiPriority w:val="9"/>
    <w:rPr>
      <w:rFonts w:eastAsia="宋体"/>
      <w:b/>
      <w:bCs/>
      <w:sz w:val="30"/>
      <w:szCs w:val="32"/>
    </w:rPr>
  </w:style>
  <w:style w:type="character" w:customStyle="1" w:styleId="20">
    <w:name w:val="标题 4 字符"/>
    <w:basedOn w:val="13"/>
    <w:link w:val="5"/>
    <w:qFormat/>
    <w:uiPriority w:val="9"/>
    <w:rPr>
      <w:rFonts w:eastAsia="宋体" w:asciiTheme="majorHAnsi" w:hAnsiTheme="majorHAnsi" w:cstheme="majorBidi"/>
      <w:b/>
      <w:bCs/>
      <w:sz w:val="28"/>
      <w:szCs w:val="28"/>
    </w:rPr>
  </w:style>
  <w:style w:type="character" w:customStyle="1" w:styleId="21">
    <w:name w:val="标题 5 字符"/>
    <w:basedOn w:val="13"/>
    <w:link w:val="6"/>
    <w:semiHidden/>
    <w:qFormat/>
    <w:uiPriority w:val="9"/>
    <w:rPr>
      <w:rFonts w:eastAsia="宋体"/>
      <w:b/>
      <w:bCs/>
      <w:sz w:val="28"/>
      <w:szCs w:val="28"/>
    </w:rPr>
  </w:style>
  <w:style w:type="character" w:customStyle="1" w:styleId="22">
    <w:name w:val="标题 6 字符"/>
    <w:basedOn w:val="13"/>
    <w:link w:val="7"/>
    <w:semiHidden/>
    <w:qFormat/>
    <w:uiPriority w:val="9"/>
    <w:rPr>
      <w:rFonts w:asciiTheme="majorHAnsi" w:hAnsiTheme="majorHAnsi" w:eastAsiaTheme="majorEastAsia" w:cstheme="majorBidi"/>
      <w:b/>
      <w:bCs/>
      <w:sz w:val="24"/>
      <w:szCs w:val="24"/>
    </w:rPr>
  </w:style>
  <w:style w:type="character" w:customStyle="1" w:styleId="23">
    <w:name w:val="标题 7 字符"/>
    <w:basedOn w:val="13"/>
    <w:link w:val="8"/>
    <w:semiHidden/>
    <w:qFormat/>
    <w:uiPriority w:val="9"/>
    <w:rPr>
      <w:rFonts w:eastAsia="宋体"/>
      <w:b/>
      <w:bCs/>
      <w:sz w:val="24"/>
      <w:szCs w:val="24"/>
    </w:rPr>
  </w:style>
  <w:style w:type="character" w:customStyle="1" w:styleId="24">
    <w:name w:val="标题 8 字符"/>
    <w:basedOn w:val="13"/>
    <w:link w:val="9"/>
    <w:semiHidden/>
    <w:qFormat/>
    <w:uiPriority w:val="9"/>
    <w:rPr>
      <w:rFonts w:asciiTheme="majorHAnsi" w:hAnsiTheme="majorHAnsi" w:eastAsiaTheme="majorEastAsia" w:cstheme="majorBidi"/>
      <w:sz w:val="24"/>
      <w:szCs w:val="24"/>
    </w:rPr>
  </w:style>
  <w:style w:type="character" w:customStyle="1" w:styleId="25">
    <w:name w:val="标题 9 字符"/>
    <w:basedOn w:val="13"/>
    <w:link w:val="10"/>
    <w:semiHidden/>
    <w:qFormat/>
    <w:uiPriority w:val="9"/>
    <w:rPr>
      <w:rFonts w:asciiTheme="majorHAnsi" w:hAnsiTheme="majorHAnsi" w:eastAsiaTheme="majorEastAsia" w:cstheme="majorBid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780</Words>
  <Characters>4448</Characters>
  <Lines>37</Lines>
  <Paragraphs>10</Paragraphs>
  <ScaleCrop>false</ScaleCrop>
  <LinksUpToDate>false</LinksUpToDate>
  <CharactersWithSpaces>5218</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2023-01-10T06:30:00Z</dcterms:created>
  <dc:creator>NTKO</dc:creator>
  <cp:lastModifiedBy>档案查询</cp:lastModifiedBy>
  <dcterms:modified xsi:type="dcterms:W3CDTF">2023-01-16T07:03:44Z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