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F2D6D">
      <w:pPr>
        <w:jc w:val="center"/>
        <w:rPr>
          <w:rFonts w:ascii="方正小标宋简体" w:hAnsi="宋体" w:eastAsia="方正小标宋简体"/>
          <w:sz w:val="44"/>
          <w:szCs w:val="44"/>
        </w:rPr>
      </w:pPr>
      <w:r>
        <w:rPr>
          <w:rFonts w:hint="eastAsia" w:ascii="方正小标宋简体" w:hAnsi="宋体" w:eastAsia="方正小标宋简体"/>
          <w:sz w:val="44"/>
          <w:szCs w:val="44"/>
        </w:rPr>
        <w:t>政务数据安全风险评估与内控研究课题</w:t>
      </w:r>
    </w:p>
    <w:p w14:paraId="27FE78C7">
      <w:pPr>
        <w:jc w:val="center"/>
        <w:rPr>
          <w:rFonts w:ascii="方正小标宋简体" w:hAnsi="宋体" w:eastAsia="方正小标宋简体"/>
          <w:sz w:val="44"/>
          <w:szCs w:val="44"/>
        </w:rPr>
      </w:pPr>
      <w:r>
        <w:rPr>
          <w:rFonts w:hint="eastAsia" w:ascii="方正小标宋简体" w:hAnsi="宋体" w:eastAsia="方正小标宋简体"/>
          <w:sz w:val="44"/>
          <w:szCs w:val="44"/>
        </w:rPr>
        <w:t>技术服务需求</w:t>
      </w:r>
    </w:p>
    <w:p w14:paraId="686C3D63">
      <w:pPr>
        <w:pStyle w:val="6"/>
        <w:spacing w:line="560" w:lineRule="exact"/>
        <w:ind w:firstLine="562" w:firstLineChars="200"/>
        <w:rPr>
          <w:rFonts w:ascii="宋体" w:hAnsi="宋体"/>
          <w:b/>
          <w:sz w:val="28"/>
          <w:szCs w:val="28"/>
        </w:rPr>
      </w:pPr>
      <w:r>
        <w:rPr>
          <w:rFonts w:hint="eastAsia" w:ascii="宋体" w:hAnsi="宋体"/>
          <w:b/>
          <w:sz w:val="28"/>
          <w:szCs w:val="28"/>
          <w:shd w:val="clear" w:color="auto" w:fill="FFFFFF"/>
        </w:rPr>
        <w:t>一、项目概况</w:t>
      </w:r>
    </w:p>
    <w:p w14:paraId="1B7BE9AA">
      <w:pPr>
        <w:pStyle w:val="14"/>
        <w:spacing w:line="560" w:lineRule="exact"/>
        <w:ind w:firstLine="560" w:firstLineChars="200"/>
        <w:rPr>
          <w:sz w:val="28"/>
          <w:szCs w:val="28"/>
        </w:rPr>
      </w:pPr>
      <w:r>
        <w:rPr>
          <w:rFonts w:hint="eastAsia"/>
          <w:sz w:val="28"/>
          <w:szCs w:val="28"/>
        </w:rPr>
        <w:t>本项目为</w:t>
      </w:r>
      <w:r>
        <w:rPr>
          <w:rFonts w:hint="eastAsia"/>
          <w:bCs/>
          <w:sz w:val="28"/>
          <w:szCs w:val="28"/>
        </w:rPr>
        <w:t>政务数据安全风险评估与内控研究课题的技术服务项目。</w:t>
      </w:r>
      <w:r>
        <w:rPr>
          <w:rFonts w:hint="eastAsia"/>
          <w:sz w:val="28"/>
          <w:szCs w:val="28"/>
        </w:rPr>
        <w:t>当前我省市场监管领域存在数据量大、覆盖面广、结构多样、关联关系复杂等特点，且其中涉及大量工作秘密、个人隐私数据等敏感数据。特别是在信息系统建设过程中，承建单位和第三方服务单位现场驻点人员数量多、变动快、管理难等问题较为突出，传统的网络安全防护手段不足以解决当前面临的数据安全问题，急需加强数据安全风险评估和内控管理。</w:t>
      </w:r>
    </w:p>
    <w:p w14:paraId="7BBFEB68">
      <w:pPr>
        <w:spacing w:line="560" w:lineRule="exact"/>
        <w:ind w:firstLine="560" w:firstLineChars="200"/>
        <w:rPr>
          <w:rStyle w:val="15"/>
          <w:sz w:val="28"/>
          <w:szCs w:val="28"/>
        </w:rPr>
      </w:pPr>
      <w:r>
        <w:rPr>
          <w:rFonts w:hint="eastAsia" w:ascii="宋体" w:hAnsi="宋体" w:eastAsia="宋体"/>
          <w:sz w:val="28"/>
          <w:szCs w:val="28"/>
        </w:rPr>
        <w:t>本项目从福建省市场监管政务数据敏感发现入手,</w:t>
      </w:r>
      <w:r>
        <w:rPr>
          <w:rStyle w:val="15"/>
          <w:rFonts w:hint="eastAsia"/>
          <w:sz w:val="28"/>
          <w:szCs w:val="28"/>
        </w:rPr>
        <w:t>旨在实现数据从云端到终端的全过程闭环管控，实现对敏感数据自动扫描发现和敏感资产快速分级分类，有效提升数据安全内控管理水平。</w:t>
      </w:r>
    </w:p>
    <w:p w14:paraId="0CB6EE05">
      <w:pPr>
        <w:pStyle w:val="6"/>
        <w:spacing w:line="560" w:lineRule="exact"/>
        <w:ind w:firstLine="562" w:firstLineChars="200"/>
        <w:rPr>
          <w:rFonts w:ascii="宋体" w:hAnsi="宋体"/>
          <w:b/>
          <w:sz w:val="28"/>
          <w:szCs w:val="28"/>
          <w:shd w:val="clear" w:color="auto" w:fill="FFFFFF"/>
        </w:rPr>
      </w:pPr>
      <w:r>
        <w:rPr>
          <w:rFonts w:hint="eastAsia" w:ascii="宋体" w:hAnsi="宋体"/>
          <w:b/>
          <w:sz w:val="28"/>
          <w:szCs w:val="28"/>
          <w:shd w:val="clear" w:color="auto" w:fill="FFFFFF"/>
        </w:rPr>
        <w:t>二、技术和服务要求</w:t>
      </w:r>
    </w:p>
    <w:p w14:paraId="60D5E565">
      <w:pPr>
        <w:pStyle w:val="6"/>
        <w:spacing w:line="560" w:lineRule="exact"/>
        <w:ind w:firstLine="562" w:firstLineChars="200"/>
        <w:rPr>
          <w:rFonts w:ascii="宋体" w:hAnsi="宋体"/>
          <w:b/>
          <w:sz w:val="28"/>
          <w:szCs w:val="28"/>
          <w:shd w:val="clear" w:color="auto" w:fill="FFFFFF"/>
        </w:rPr>
      </w:pPr>
      <w:r>
        <w:rPr>
          <w:rFonts w:hint="eastAsia" w:ascii="宋体" w:hAnsi="宋体"/>
          <w:b/>
          <w:sz w:val="28"/>
          <w:szCs w:val="28"/>
          <w:shd w:val="clear" w:color="auto" w:fill="FFFFFF"/>
        </w:rPr>
        <w:t>（一）服务内容</w:t>
      </w:r>
    </w:p>
    <w:p w14:paraId="08CE3AA6">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1、识别福建省市场监管相关系统云端及终端敏感信息分布和不当存储，监控对敏感信息的使用并进行实时保护，制定多维度敏感数据分布地图。</w:t>
      </w:r>
    </w:p>
    <w:p w14:paraId="6AAC9572">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（1）支持ORACLE、SQL SERVER、Hive、OceanBase、TIDB、MySQL、Odps、PgSQL、Mongodb等主流的关系型数据库、数据仓库、大数据平台、云数据库。</w:t>
      </w:r>
    </w:p>
    <w:p w14:paraId="79EE1785">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（2）支持上海热璞、武汉达梦、南大通用、巨杉等主流的中国国产数据库。</w:t>
      </w:r>
    </w:p>
    <w:p w14:paraId="3E0932BE">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（3）具备敏感数据探测能力，自动发现敏感资产，系统内置的敏感数据类型。</w:t>
      </w:r>
    </w:p>
    <w:p w14:paraId="01EC6C62">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（4）内置针对符合特征的敏感数据发现规则。</w:t>
      </w:r>
    </w:p>
    <w:p w14:paraId="66069868">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（5）支持敏感发现结果列表展示，包括表名、列名、敏感类型、数据抽样示例等，支持对发现结果进行校正。</w:t>
      </w:r>
    </w:p>
    <w:p w14:paraId="2611BF74">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（6）支持基于列的业务类型，设置脱敏策略，实现相同的业务类型同时设置脱敏策略。</w:t>
      </w:r>
    </w:p>
    <w:p w14:paraId="11EA7E50">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（7）从表格、表格列、SCHEMA等维度归类敏感数据资产，形成多维度敏感数据分布地图。</w:t>
      </w:r>
    </w:p>
    <w:p w14:paraId="6BFC8D3D">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2、零信任框架下动态异构网络的建模、表示与挖掘。</w:t>
      </w:r>
    </w:p>
    <w:p w14:paraId="52C3569E">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（1）研究福建省市场监管跨部门、跨业务、跨区域的系统数据流动安全性评估与预测方法。</w:t>
      </w:r>
    </w:p>
    <w:p w14:paraId="2ADED62C">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（2）针对传播模型、因果关系、规则和常识、共现关系等关系，构建数据关系模型。</w:t>
      </w:r>
    </w:p>
    <w:p w14:paraId="41CB299B">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3、基于多元空间属性异质图（MS-AHG）的动态身份体系构建。</w:t>
      </w:r>
    </w:p>
    <w:p w14:paraId="2A07EE0F">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（1）对接触核心敏感数据的人员的权限进行细化与鉴权，建立包括账号、密码、IP地址、机器指纹、数字证书、应用程序、登陆时间等多维度的身份准入机制。</w:t>
      </w:r>
    </w:p>
    <w:p w14:paraId="0D448B9F">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2）支持身份的多因素认证，至少应支持应用程序名、IP地址、主机名、操作系统账户、数据库用户、数字证书、身份敏感标签、日期、时间、时间域、身份类别、有效时间、应用用户名、终端IP等因素的任意组合，系统根据多维身份管理策略，自动判别登录主体的合法性。</w:t>
      </w:r>
    </w:p>
    <w:p w14:paraId="19AD01E5">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（3）对于不合规的用户访问予以阻断与预警，同时能够根据实际情况进行临时访问动态授权，阻断撞库、高频登录等异常行为。</w:t>
      </w:r>
    </w:p>
    <w:p w14:paraId="1D2E6B56">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（4）支持僵尸账号检测，对僵尸账号进行锁定，防止僵尸账号造成数据泄露。</w:t>
      </w:r>
    </w:p>
    <w:p w14:paraId="18D87E1D">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5）基于用户身份与数据资产关联关系，利用元知识指导单空间的异质网络构建和多元空间交融构建，通过刻画具有不同含义和对应不同数据源空间的个属性异质图，以及构建多元空间之间交互的属性异质图集合，实现多元空间属性异质图的构建。</w:t>
      </w:r>
    </w:p>
    <w:p w14:paraId="446AD708">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（6）建立福建省市场监管动态身份体系，整个流动网络处于一个动态实时调整的状态中,从而实现对敏感数据精准性、差异化的安全防护，同时通过身份体系可将用户行为全过程留痕可追溯。</w:t>
      </w:r>
    </w:p>
    <w:p w14:paraId="51C82619">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4、跨空间突发风险数据流传播主动监控与预测。</w:t>
      </w:r>
    </w:p>
    <w:p w14:paraId="066A5EE8">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（1）构建福建省市场监管突发异常数据流动检测体系。</w:t>
      </w:r>
    </w:p>
    <w:p w14:paraId="39C7AB3F">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（2）生成跨空间异构数据流动图谱，构建“数据主体-数据关系-行为”的多层复杂网络，充分挖掘网络上的相关信息并进行相关分析，实现对突发异常数据流动行为的实时监控和预测。</w:t>
      </w:r>
    </w:p>
    <w:p w14:paraId="3C0155DF">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（3）支持特权用户访问控制。</w:t>
      </w:r>
    </w:p>
    <w:p w14:paraId="1A481884">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（4）根据应用程序名、IP地址、主机名、操作系统账户、数据库账户、数据库实例名、时间、U盾等实现敏感数据访问控制。</w:t>
      </w:r>
    </w:p>
    <w:p w14:paraId="5AE144E3">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（5）限制过程、函数、包等对象访问敏感数据。</w:t>
      </w:r>
    </w:p>
    <w:p w14:paraId="0F1C9681">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（6）视图中调用敏感数据管控。</w:t>
      </w:r>
    </w:p>
    <w:p w14:paraId="56C684C4">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（7）对访问身份设置敏感标签。</w:t>
      </w:r>
    </w:p>
    <w:p w14:paraId="18E02BFF">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（8）限定、设置特定JOB作业访问敏感。</w:t>
      </w:r>
    </w:p>
    <w:p w14:paraId="6B04927A">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（9）支持策略中心全部策略、系统配置、资产配置（资产列表信息、数据源部署模式、数据源分组信息、敏感资产信息等）等进行备份与恢复。</w:t>
      </w:r>
    </w:p>
    <w:p w14:paraId="29743F0B">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（10）支持日报、月报、周报等生成，导出格式支持PDF/word。</w:t>
      </w:r>
    </w:p>
    <w:p w14:paraId="197D207A">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5、“云端+终端”全过程数据安全闭环管控模型构建。</w:t>
      </w:r>
    </w:p>
    <w:p w14:paraId="7053A7A2">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（1）具备政务云部署、监测能力。</w:t>
      </w:r>
    </w:p>
    <w:p w14:paraId="5452DE59">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（2）具备针对不同终端人员采用不同的安全权限进行访问能力，终端类型包括运维和开发终端、业务办理终端等。</w:t>
      </w:r>
    </w:p>
    <w:p w14:paraId="0A28D6C6">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（3）支持对终端信任应用保护策略，信任验证机制支持通过识别程序名、程序签名及安全标签（程序哈希值）三种方式对应用进行保护。</w:t>
      </w:r>
    </w:p>
    <w:p w14:paraId="5BC4269F">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（4）具备对终端设备的扫描、监测、检测能力，能够针对设定的规则定期、不定期扫描、监测、检测终端设备上不当存储的敏感数据，并进行告警、锁定等操作。</w:t>
      </w:r>
    </w:p>
    <w:p w14:paraId="230F5A68">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5）具备云端+终端联动功能，当云端检测引擎报告一个策略违规时，终端系统将执行“自动”响应规则。响应规则条件是基于检测匹配条件来触发操作，条件定义了系统触发响应规则操作的方式和时间，并提供了多种确定传入事件优先级的方式，以便进行重点补救并采取适当的响应。</w:t>
      </w:r>
    </w:p>
    <w:p w14:paraId="1F0C1C61">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6、数据安全风险评估及内控管理系统研发</w:t>
      </w:r>
    </w:p>
    <w:p w14:paraId="2EA96B7D">
      <w:pPr>
        <w:tabs>
          <w:tab w:val="left" w:pos="0"/>
        </w:tabs>
        <w:spacing w:line="560" w:lineRule="exact"/>
        <w:ind w:firstLine="560" w:firstLineChars="200"/>
        <w:jc w:val="left"/>
        <w:rPr>
          <w:rFonts w:ascii="宋体" w:hAnsi="宋体" w:eastAsia="宋体"/>
          <w:sz w:val="28"/>
          <w:szCs w:val="28"/>
        </w:rPr>
      </w:pPr>
      <w:r>
        <w:rPr>
          <w:rFonts w:hint="eastAsia" w:ascii="宋体" w:hAnsi="宋体" w:eastAsia="宋体"/>
          <w:sz w:val="28"/>
          <w:szCs w:val="28"/>
        </w:rPr>
        <w:t>根据研究内容，配合开展福建省市场监管数据安全风险评估及内控管理系统原型机的研发、部署和实战检验。</w:t>
      </w:r>
    </w:p>
    <w:p w14:paraId="348D615E">
      <w:pPr>
        <w:tabs>
          <w:tab w:val="left" w:pos="0"/>
        </w:tabs>
        <w:spacing w:line="560" w:lineRule="exact"/>
        <w:ind w:firstLine="562" w:firstLineChars="200"/>
        <w:jc w:val="left"/>
        <w:rPr>
          <w:rFonts w:ascii="宋体" w:hAnsi="宋体" w:eastAsia="宋体"/>
          <w:b/>
          <w:sz w:val="28"/>
          <w:szCs w:val="28"/>
        </w:rPr>
      </w:pPr>
      <w:r>
        <w:rPr>
          <w:rFonts w:hint="eastAsia" w:ascii="宋体" w:hAnsi="宋体" w:eastAsia="宋体"/>
          <w:b/>
          <w:sz w:val="28"/>
          <w:szCs w:val="28"/>
        </w:rPr>
        <w:t>（二）服务要求</w:t>
      </w:r>
    </w:p>
    <w:p w14:paraId="2EDD2D83">
      <w:pPr>
        <w:pStyle w:val="6"/>
        <w:spacing w:line="560" w:lineRule="exact"/>
        <w:ind w:firstLine="562" w:firstLineChars="200"/>
        <w:rPr>
          <w:rFonts w:ascii="宋体" w:hAnsi="宋体"/>
          <w:sz w:val="28"/>
          <w:szCs w:val="28"/>
        </w:rPr>
      </w:pPr>
      <w:r>
        <w:rPr>
          <w:rStyle w:val="10"/>
          <w:rFonts w:hint="eastAsia" w:ascii="宋体" w:hAnsi="宋体"/>
          <w:sz w:val="28"/>
          <w:szCs w:val="28"/>
          <w:shd w:val="clear" w:color="auto" w:fill="FFFFFF"/>
        </w:rPr>
        <w:t>1、实施服务要求</w:t>
      </w:r>
    </w:p>
    <w:p w14:paraId="7627D6AC">
      <w:pPr>
        <w:pStyle w:val="6"/>
        <w:spacing w:line="560" w:lineRule="exact"/>
        <w:ind w:firstLine="480"/>
        <w:rPr>
          <w:rFonts w:ascii="宋体" w:hAnsi="宋体"/>
          <w:sz w:val="28"/>
          <w:szCs w:val="28"/>
        </w:rPr>
      </w:pPr>
      <w:r>
        <w:rPr>
          <w:rFonts w:hint="eastAsia" w:ascii="宋体" w:hAnsi="宋体"/>
          <w:sz w:val="28"/>
          <w:szCs w:val="28"/>
          <w:shd w:val="clear" w:color="auto" w:fill="FFFFFF"/>
        </w:rPr>
        <w:t>投标人应提供项目实施的项目人员及组织机构、实施策略、实施计划、项目保障措施、质量控制措施、系统测试、验收、交付物等。</w:t>
      </w:r>
    </w:p>
    <w:p w14:paraId="0FF01D69">
      <w:pPr>
        <w:pStyle w:val="6"/>
        <w:spacing w:line="560" w:lineRule="exact"/>
        <w:ind w:firstLine="480"/>
        <w:rPr>
          <w:rFonts w:ascii="宋体" w:hAnsi="宋体"/>
          <w:sz w:val="28"/>
          <w:szCs w:val="28"/>
        </w:rPr>
      </w:pPr>
      <w:r>
        <w:rPr>
          <w:rFonts w:hint="eastAsia" w:ascii="宋体" w:hAnsi="宋体"/>
          <w:sz w:val="28"/>
          <w:szCs w:val="28"/>
          <w:shd w:val="clear" w:color="auto" w:fill="FFFFFF"/>
        </w:rPr>
        <w:t>（1）项目人员及组织机构</w:t>
      </w:r>
    </w:p>
    <w:p w14:paraId="09A4F58D">
      <w:pPr>
        <w:pStyle w:val="6"/>
        <w:spacing w:line="560" w:lineRule="exact"/>
        <w:ind w:firstLine="480"/>
        <w:rPr>
          <w:rFonts w:ascii="宋体" w:hAnsi="宋体"/>
          <w:sz w:val="28"/>
          <w:szCs w:val="28"/>
          <w:shd w:val="clear" w:color="auto" w:fill="FFFFFF"/>
        </w:rPr>
      </w:pPr>
      <w:r>
        <w:rPr>
          <w:rFonts w:hint="eastAsia" w:ascii="宋体" w:hAnsi="宋体"/>
          <w:sz w:val="28"/>
          <w:szCs w:val="28"/>
          <w:shd w:val="clear" w:color="auto" w:fill="FFFFFF"/>
        </w:rPr>
        <w:t>投标人应成立合理的组织机构，建立健全保障项目顺利实施的各项管理制度和质量保证体系，安排足够的高素质人才参加项目的建设。在项目机构中应明确各岗位的职责、任职资格，确保工程顺利实施。</w:t>
      </w:r>
    </w:p>
    <w:p w14:paraId="6485B7E8">
      <w:pPr>
        <w:pStyle w:val="6"/>
        <w:spacing w:line="560" w:lineRule="exact"/>
        <w:ind w:firstLine="480"/>
        <w:rPr>
          <w:rFonts w:ascii="宋体" w:hAnsi="宋体"/>
          <w:sz w:val="28"/>
          <w:szCs w:val="28"/>
        </w:rPr>
      </w:pPr>
      <w:r>
        <w:rPr>
          <w:rFonts w:hint="eastAsia" w:ascii="宋体" w:hAnsi="宋体"/>
          <w:sz w:val="28"/>
          <w:szCs w:val="28"/>
        </w:rPr>
        <w:t>为保障技术服务质量，中标人在项目实施期间须组建现场服务团点，派驻至少3名技术人员提供5*8小时驻点技术服务，驻点人员须为中标人正式员工，且具有数据库、数据安全等相关领域的实施经验。</w:t>
      </w:r>
    </w:p>
    <w:p w14:paraId="78ED1B71">
      <w:pPr>
        <w:pStyle w:val="6"/>
        <w:spacing w:line="560" w:lineRule="exact"/>
        <w:ind w:firstLine="480"/>
        <w:rPr>
          <w:rFonts w:ascii="宋体" w:hAnsi="宋体"/>
          <w:sz w:val="28"/>
          <w:szCs w:val="28"/>
        </w:rPr>
      </w:pPr>
      <w:r>
        <w:rPr>
          <w:rFonts w:hint="eastAsia" w:ascii="宋体" w:hAnsi="宋体"/>
          <w:sz w:val="28"/>
          <w:szCs w:val="28"/>
          <w:shd w:val="clear" w:color="auto" w:fill="FFFFFF"/>
        </w:rPr>
        <w:t>（2）项目实施策略</w:t>
      </w:r>
    </w:p>
    <w:p w14:paraId="3B42A7ED">
      <w:pPr>
        <w:pStyle w:val="6"/>
        <w:spacing w:line="560" w:lineRule="exact"/>
        <w:ind w:firstLine="480"/>
        <w:rPr>
          <w:rFonts w:ascii="宋体" w:hAnsi="宋体"/>
          <w:sz w:val="28"/>
          <w:szCs w:val="28"/>
        </w:rPr>
      </w:pPr>
      <w:r>
        <w:rPr>
          <w:rFonts w:hint="eastAsia" w:ascii="宋体" w:hAnsi="宋体"/>
          <w:sz w:val="28"/>
          <w:szCs w:val="28"/>
          <w:shd w:val="clear" w:color="auto" w:fill="FFFFFF"/>
        </w:rPr>
        <w:t>投标人应从项目实施范围及内容、项目实施准备、需求调研与确认、实施方案制定、项目实施管理办法、沟通管理等方面制定实施策略。</w:t>
      </w:r>
    </w:p>
    <w:p w14:paraId="0730FBE7">
      <w:pPr>
        <w:pStyle w:val="6"/>
        <w:spacing w:line="560" w:lineRule="exact"/>
        <w:ind w:firstLine="480"/>
        <w:rPr>
          <w:rFonts w:ascii="宋体" w:hAnsi="宋体"/>
          <w:sz w:val="28"/>
          <w:szCs w:val="28"/>
        </w:rPr>
      </w:pPr>
      <w:r>
        <w:rPr>
          <w:rFonts w:hint="eastAsia" w:ascii="宋体" w:hAnsi="宋体"/>
          <w:sz w:val="28"/>
          <w:szCs w:val="28"/>
          <w:shd w:val="clear" w:color="auto" w:fill="FFFFFF"/>
        </w:rPr>
        <w:t>（3）项目实施计划</w:t>
      </w:r>
    </w:p>
    <w:p w14:paraId="7D3C875C">
      <w:pPr>
        <w:pStyle w:val="6"/>
        <w:spacing w:line="560" w:lineRule="exact"/>
        <w:ind w:firstLine="480"/>
        <w:rPr>
          <w:rFonts w:ascii="宋体" w:hAnsi="宋体"/>
          <w:sz w:val="28"/>
          <w:szCs w:val="28"/>
        </w:rPr>
      </w:pPr>
      <w:r>
        <w:rPr>
          <w:rFonts w:hint="eastAsia" w:ascii="宋体" w:hAnsi="宋体"/>
          <w:sz w:val="28"/>
          <w:szCs w:val="28"/>
          <w:shd w:val="clear" w:color="auto" w:fill="FFFFFF"/>
        </w:rPr>
        <w:t>投标人应在项目总体进度要求时间内就本项目提供项目实施计划及日程安排。</w:t>
      </w:r>
    </w:p>
    <w:p w14:paraId="1621C857">
      <w:pPr>
        <w:pStyle w:val="6"/>
        <w:spacing w:line="560" w:lineRule="exact"/>
        <w:ind w:firstLine="480"/>
        <w:rPr>
          <w:rFonts w:ascii="宋体" w:hAnsi="宋体"/>
          <w:sz w:val="28"/>
          <w:szCs w:val="28"/>
        </w:rPr>
      </w:pPr>
      <w:r>
        <w:rPr>
          <w:rFonts w:hint="eastAsia" w:ascii="宋体" w:hAnsi="宋体"/>
          <w:sz w:val="28"/>
          <w:szCs w:val="28"/>
          <w:shd w:val="clear" w:color="auto" w:fill="FFFFFF"/>
        </w:rPr>
        <w:t>（4）项目保障措施</w:t>
      </w:r>
    </w:p>
    <w:p w14:paraId="290F6515">
      <w:pPr>
        <w:pStyle w:val="6"/>
        <w:spacing w:line="560" w:lineRule="exact"/>
        <w:ind w:firstLine="480"/>
        <w:rPr>
          <w:rFonts w:ascii="宋体" w:hAnsi="宋体"/>
          <w:sz w:val="28"/>
          <w:szCs w:val="28"/>
        </w:rPr>
      </w:pPr>
      <w:r>
        <w:rPr>
          <w:rFonts w:hint="eastAsia" w:ascii="宋体" w:hAnsi="宋体"/>
          <w:sz w:val="28"/>
          <w:szCs w:val="28"/>
          <w:shd w:val="clear" w:color="auto" w:fill="FFFFFF"/>
        </w:rPr>
        <w:t>为保障项目实施过程顺利完成，投标人应从项目管理措施（技术管理、进度管理、知识库管理）、项目质量管理、质量保障体系、风险管理方面进行项目保障。</w:t>
      </w:r>
    </w:p>
    <w:p w14:paraId="4EA5A84D">
      <w:pPr>
        <w:pStyle w:val="6"/>
        <w:spacing w:line="560" w:lineRule="exact"/>
        <w:ind w:firstLine="480"/>
        <w:rPr>
          <w:rFonts w:ascii="宋体" w:hAnsi="宋体"/>
          <w:sz w:val="28"/>
          <w:szCs w:val="28"/>
        </w:rPr>
      </w:pPr>
      <w:r>
        <w:rPr>
          <w:rFonts w:hint="eastAsia" w:ascii="宋体" w:hAnsi="宋体"/>
          <w:sz w:val="28"/>
          <w:szCs w:val="28"/>
          <w:shd w:val="clear" w:color="auto" w:fill="FFFFFF"/>
        </w:rPr>
        <w:t>（5）项目质量控制</w:t>
      </w:r>
    </w:p>
    <w:p w14:paraId="44366B5D">
      <w:pPr>
        <w:pStyle w:val="6"/>
        <w:spacing w:line="560" w:lineRule="exact"/>
        <w:ind w:firstLine="480"/>
        <w:rPr>
          <w:rFonts w:ascii="宋体" w:hAnsi="宋体"/>
          <w:sz w:val="28"/>
          <w:szCs w:val="28"/>
        </w:rPr>
      </w:pPr>
      <w:r>
        <w:rPr>
          <w:rFonts w:hint="eastAsia" w:ascii="宋体" w:hAnsi="宋体"/>
          <w:sz w:val="28"/>
          <w:szCs w:val="28"/>
          <w:shd w:val="clear" w:color="auto" w:fill="FFFFFF"/>
        </w:rPr>
        <w:t>为保障项目交付质量，投标人应从项目质量控制方法、项目质量控制内容、项目控制标准等方面进行项目质量保障。</w:t>
      </w:r>
    </w:p>
    <w:p w14:paraId="76C19D02">
      <w:pPr>
        <w:pStyle w:val="6"/>
        <w:spacing w:line="560" w:lineRule="exact"/>
        <w:ind w:firstLine="480"/>
        <w:rPr>
          <w:rStyle w:val="10"/>
          <w:rFonts w:ascii="宋体" w:hAnsi="宋体"/>
          <w:b w:val="0"/>
          <w:bCs w:val="0"/>
          <w:sz w:val="28"/>
          <w:szCs w:val="28"/>
          <w:shd w:val="clear" w:color="auto" w:fill="FFFFFF"/>
        </w:rPr>
      </w:pPr>
      <w:r>
        <w:rPr>
          <w:rStyle w:val="10"/>
          <w:rFonts w:hint="eastAsia" w:ascii="宋体" w:hAnsi="宋体"/>
          <w:sz w:val="28"/>
          <w:szCs w:val="28"/>
          <w:shd w:val="clear" w:color="auto" w:fill="FFFFFF"/>
        </w:rPr>
        <w:t>2、售后服务要求</w:t>
      </w:r>
    </w:p>
    <w:p w14:paraId="7CB147D7">
      <w:pPr>
        <w:pStyle w:val="6"/>
        <w:spacing w:line="560" w:lineRule="exact"/>
        <w:ind w:firstLine="480"/>
        <w:rPr>
          <w:rFonts w:ascii="宋体" w:hAnsi="宋体" w:cs="宋体"/>
          <w:kern w:val="0"/>
          <w:sz w:val="28"/>
          <w:szCs w:val="28"/>
        </w:rPr>
      </w:pPr>
      <w:r>
        <w:rPr>
          <w:rFonts w:hint="eastAsia" w:ascii="宋体" w:hAnsi="宋体" w:cs="宋体"/>
          <w:kern w:val="0"/>
          <w:sz w:val="28"/>
          <w:szCs w:val="28"/>
        </w:rPr>
        <w:t>（1）中标人提供1年免费质保服务，质保期从项目验收合格之日起开始计算。</w:t>
      </w:r>
    </w:p>
    <w:p w14:paraId="381DF586">
      <w:pPr>
        <w:pStyle w:val="6"/>
        <w:spacing w:line="560" w:lineRule="exact"/>
        <w:ind w:firstLine="480"/>
        <w:rPr>
          <w:rFonts w:ascii="宋体" w:hAnsi="宋体" w:cs="宋体"/>
          <w:kern w:val="0"/>
          <w:sz w:val="28"/>
          <w:szCs w:val="28"/>
        </w:rPr>
      </w:pPr>
      <w:r>
        <w:rPr>
          <w:rFonts w:hint="eastAsia" w:ascii="宋体" w:hAnsi="宋体" w:cs="宋体"/>
          <w:kern w:val="0"/>
          <w:sz w:val="28"/>
          <w:szCs w:val="28"/>
        </w:rPr>
        <w:t>（2）中标人在质保期内提供7*24小时的服务响应，并在2小时内做出明确响应和安排。如需现场服务的，中标人应派遣具有解决故障能力的工程师在4小时内到达现场。</w:t>
      </w:r>
    </w:p>
    <w:p w14:paraId="7060D73D">
      <w:pPr>
        <w:pStyle w:val="6"/>
        <w:spacing w:line="560" w:lineRule="exact"/>
        <w:ind w:firstLine="480"/>
        <w:rPr>
          <w:rFonts w:ascii="宋体" w:hAnsi="宋体"/>
          <w:sz w:val="28"/>
          <w:szCs w:val="28"/>
          <w:shd w:val="clear" w:color="auto" w:fill="FFFFFF"/>
        </w:rPr>
      </w:pPr>
      <w:r>
        <w:rPr>
          <w:rFonts w:hint="eastAsia" w:ascii="宋体" w:hAnsi="宋体" w:cs="宋体"/>
          <w:kern w:val="0"/>
          <w:sz w:val="28"/>
          <w:szCs w:val="28"/>
        </w:rPr>
        <w:t>（3）中标人对系统软件服务时不影响原有应用系统的正常运行和效率，不涉及</w:t>
      </w:r>
      <w:bookmarkStart w:id="0" w:name="_GoBack"/>
      <w:bookmarkEnd w:id="0"/>
      <w:r>
        <w:rPr>
          <w:rFonts w:hint="eastAsia" w:ascii="宋体" w:hAnsi="宋体" w:cs="宋体"/>
          <w:kern w:val="0"/>
          <w:sz w:val="28"/>
          <w:szCs w:val="28"/>
        </w:rPr>
        <w:t>对原有应用系统重新设计。对系统软件的更新及升级时，未经采购人同意，不改变针对本项目定制的功能。</w:t>
      </w:r>
    </w:p>
    <w:p w14:paraId="4E2E3CE4">
      <w:pPr>
        <w:pStyle w:val="6"/>
        <w:spacing w:line="560" w:lineRule="exact"/>
        <w:ind w:firstLine="480"/>
        <w:rPr>
          <w:rFonts w:ascii="宋体" w:hAnsi="宋体"/>
          <w:sz w:val="28"/>
          <w:szCs w:val="28"/>
        </w:rPr>
      </w:pPr>
      <w:r>
        <w:rPr>
          <w:rStyle w:val="10"/>
          <w:rFonts w:hint="eastAsia" w:ascii="宋体" w:hAnsi="宋体"/>
          <w:sz w:val="28"/>
          <w:szCs w:val="28"/>
          <w:shd w:val="clear" w:color="auto" w:fill="FFFFFF"/>
        </w:rPr>
        <w:t>3、项目交付成果</w:t>
      </w:r>
    </w:p>
    <w:p w14:paraId="5EE2C8DF">
      <w:pPr>
        <w:pStyle w:val="6"/>
        <w:spacing w:line="560" w:lineRule="exact"/>
        <w:ind w:firstLine="480"/>
        <w:rPr>
          <w:rFonts w:ascii="宋体" w:hAnsi="宋体"/>
          <w:sz w:val="28"/>
          <w:szCs w:val="28"/>
        </w:rPr>
      </w:pPr>
      <w:r>
        <w:rPr>
          <w:rFonts w:hint="eastAsia" w:ascii="宋体" w:hAnsi="宋体"/>
          <w:sz w:val="28"/>
          <w:szCs w:val="28"/>
          <w:shd w:val="clear" w:color="auto" w:fill="FFFFFF"/>
        </w:rPr>
        <w:t>（1）本项目所涉及的与运行版本一致的所有完整安装程序及技术资料。</w:t>
      </w:r>
    </w:p>
    <w:p w14:paraId="3D410F3E">
      <w:pPr>
        <w:pStyle w:val="6"/>
        <w:spacing w:line="560" w:lineRule="exact"/>
        <w:ind w:firstLine="480"/>
        <w:rPr>
          <w:rFonts w:ascii="宋体" w:hAnsi="宋体"/>
          <w:sz w:val="28"/>
          <w:szCs w:val="28"/>
        </w:rPr>
      </w:pPr>
      <w:r>
        <w:rPr>
          <w:rFonts w:hint="eastAsia" w:ascii="宋体" w:hAnsi="宋体"/>
          <w:sz w:val="28"/>
          <w:szCs w:val="28"/>
          <w:shd w:val="clear" w:color="auto" w:fill="FFFFFF"/>
        </w:rPr>
        <w:t>（2）软件产品和设计成果需完整安装在采购人指定的服务器上，并保障系统运行稳定、访问正常。</w:t>
      </w:r>
    </w:p>
    <w:p w14:paraId="03F29D83">
      <w:pPr>
        <w:pStyle w:val="6"/>
        <w:spacing w:line="560" w:lineRule="exact"/>
        <w:ind w:firstLine="480"/>
        <w:rPr>
          <w:rFonts w:ascii="宋体" w:hAnsi="宋体"/>
          <w:sz w:val="28"/>
          <w:szCs w:val="28"/>
        </w:rPr>
      </w:pPr>
      <w:r>
        <w:rPr>
          <w:rFonts w:hint="eastAsia" w:ascii="宋体" w:hAnsi="宋体"/>
          <w:sz w:val="28"/>
          <w:szCs w:val="28"/>
          <w:shd w:val="clear" w:color="auto" w:fill="FFFFFF"/>
        </w:rPr>
        <w:t>（3）技术资料文档，参照软件文档管理指南（GB/T16680-1996 、 GB/T8567-2006）提供相应文档，至少包括软件使用及维护等方面的文档资料。</w:t>
      </w:r>
    </w:p>
    <w:p w14:paraId="0D9151DB">
      <w:pPr>
        <w:pStyle w:val="6"/>
        <w:spacing w:line="560" w:lineRule="exact"/>
        <w:ind w:firstLine="480"/>
        <w:rPr>
          <w:rFonts w:ascii="宋体" w:hAnsi="宋体"/>
          <w:sz w:val="28"/>
          <w:szCs w:val="28"/>
        </w:rPr>
      </w:pPr>
      <w:r>
        <w:rPr>
          <w:rFonts w:hint="eastAsia" w:ascii="宋体" w:hAnsi="宋体"/>
          <w:sz w:val="28"/>
          <w:szCs w:val="28"/>
          <w:shd w:val="clear" w:color="auto" w:fill="FFFFFF"/>
        </w:rPr>
        <w:t>（4）技术文档内容应满足有关应用软件文档编制规范标准要求。提供的文档和资料均应以纸张和光盘为载体，文件格式为Word文档或其他可视化、未加密的文件。</w:t>
      </w:r>
    </w:p>
    <w:p w14:paraId="1AFDF8EE">
      <w:pPr>
        <w:pStyle w:val="6"/>
        <w:spacing w:line="560" w:lineRule="exact"/>
        <w:ind w:firstLine="480"/>
        <w:rPr>
          <w:rFonts w:ascii="宋体" w:hAnsi="宋体"/>
          <w:sz w:val="28"/>
          <w:szCs w:val="28"/>
        </w:rPr>
      </w:pPr>
      <w:r>
        <w:rPr>
          <w:rFonts w:hint="eastAsia" w:ascii="宋体" w:hAnsi="宋体"/>
          <w:sz w:val="28"/>
          <w:szCs w:val="28"/>
          <w:shd w:val="clear" w:color="auto" w:fill="FFFFFF"/>
        </w:rPr>
        <w:t>（5）投标人应在投标文件中提供需求调研、测试阶段、实施阶段、运行阶段、项目管理的全部交付成果的清单。</w:t>
      </w:r>
    </w:p>
    <w:p w14:paraId="1C43890C">
      <w:pPr>
        <w:pStyle w:val="6"/>
        <w:spacing w:line="560" w:lineRule="exact"/>
        <w:ind w:firstLine="480"/>
        <w:rPr>
          <w:rFonts w:ascii="宋体" w:hAnsi="宋体"/>
          <w:sz w:val="28"/>
          <w:szCs w:val="28"/>
        </w:rPr>
      </w:pPr>
      <w:r>
        <w:rPr>
          <w:rStyle w:val="10"/>
          <w:rFonts w:hint="eastAsia" w:ascii="宋体" w:hAnsi="宋体"/>
          <w:sz w:val="28"/>
          <w:szCs w:val="28"/>
          <w:shd w:val="clear" w:color="auto" w:fill="FFFFFF"/>
        </w:rPr>
        <w:t>4、项目工期要求</w:t>
      </w:r>
    </w:p>
    <w:p w14:paraId="65ED48E1">
      <w:pPr>
        <w:pStyle w:val="6"/>
        <w:spacing w:line="560" w:lineRule="exact"/>
        <w:ind w:firstLine="480"/>
        <w:rPr>
          <w:rFonts w:ascii="宋体" w:hAnsi="宋体"/>
          <w:sz w:val="28"/>
          <w:szCs w:val="28"/>
        </w:rPr>
      </w:pPr>
      <w:r>
        <w:rPr>
          <w:rFonts w:hint="eastAsia" w:ascii="宋体" w:hAnsi="宋体"/>
          <w:sz w:val="28"/>
          <w:szCs w:val="28"/>
          <w:shd w:val="clear" w:color="auto" w:fill="FFFFFF"/>
        </w:rPr>
        <w:t>中标人应在合同签订后6个月内完成本项目的所有技术服务内容及验收工作。</w:t>
      </w:r>
    </w:p>
    <w:p w14:paraId="5B11D06E">
      <w:pPr>
        <w:pStyle w:val="6"/>
        <w:spacing w:line="560" w:lineRule="exact"/>
        <w:ind w:firstLine="480"/>
        <w:rPr>
          <w:rFonts w:ascii="宋体" w:hAnsi="宋体"/>
          <w:sz w:val="28"/>
          <w:szCs w:val="28"/>
        </w:rPr>
      </w:pPr>
      <w:r>
        <w:rPr>
          <w:rStyle w:val="10"/>
          <w:rFonts w:hint="eastAsia" w:ascii="宋体" w:hAnsi="宋体"/>
          <w:sz w:val="28"/>
          <w:szCs w:val="28"/>
          <w:shd w:val="clear" w:color="auto" w:fill="FFFFFF"/>
        </w:rPr>
        <w:t>5、项目验收要求</w:t>
      </w:r>
    </w:p>
    <w:p w14:paraId="5575ECFE">
      <w:pPr>
        <w:pStyle w:val="6"/>
        <w:spacing w:line="560" w:lineRule="exact"/>
        <w:ind w:firstLine="480"/>
        <w:rPr>
          <w:rFonts w:ascii="宋体" w:hAnsi="宋体"/>
          <w:sz w:val="28"/>
          <w:szCs w:val="28"/>
        </w:rPr>
      </w:pPr>
      <w:r>
        <w:rPr>
          <w:rFonts w:hint="eastAsia" w:ascii="宋体" w:hAnsi="宋体"/>
          <w:sz w:val="28"/>
          <w:szCs w:val="28"/>
          <w:shd w:val="clear" w:color="auto" w:fill="FFFFFF"/>
        </w:rPr>
        <w:t>（1）中标人所提供的技术服务成果应满足“第三章 二、技术和服务要求”中的所有要求，若有一项不满足的，不予验收。</w:t>
      </w:r>
    </w:p>
    <w:p w14:paraId="2811AEBB">
      <w:pPr>
        <w:pStyle w:val="6"/>
        <w:spacing w:line="560" w:lineRule="exact"/>
        <w:ind w:firstLine="480"/>
        <w:rPr>
          <w:rFonts w:ascii="宋体" w:hAnsi="宋体"/>
          <w:sz w:val="28"/>
          <w:szCs w:val="28"/>
        </w:rPr>
      </w:pPr>
      <w:r>
        <w:rPr>
          <w:rFonts w:hint="eastAsia" w:ascii="宋体" w:hAnsi="宋体"/>
          <w:sz w:val="28"/>
          <w:szCs w:val="28"/>
          <w:shd w:val="clear" w:color="auto" w:fill="FFFFFF"/>
        </w:rPr>
        <w:t>（2）中标人所提供的产品及其配套使用的相关软件，必须是正版的、合法的。软件按采购人验收标准（符合国家、行业或地方标准）、竞争性谈判文件、响应文件、合同等有关内容进行验收。</w:t>
      </w:r>
    </w:p>
    <w:p w14:paraId="49690956">
      <w:pPr>
        <w:pStyle w:val="6"/>
        <w:spacing w:line="560" w:lineRule="exact"/>
        <w:ind w:firstLine="480"/>
        <w:rPr>
          <w:rFonts w:ascii="宋体" w:hAnsi="宋体"/>
          <w:sz w:val="28"/>
          <w:szCs w:val="28"/>
        </w:rPr>
      </w:pPr>
      <w:r>
        <w:rPr>
          <w:rStyle w:val="10"/>
          <w:rFonts w:hint="eastAsia" w:ascii="宋体" w:hAnsi="宋体"/>
          <w:sz w:val="28"/>
          <w:szCs w:val="28"/>
          <w:shd w:val="clear" w:color="auto" w:fill="FFFFFF"/>
        </w:rPr>
        <w:t>6、培训要求</w:t>
      </w:r>
    </w:p>
    <w:p w14:paraId="5D97F411">
      <w:pPr>
        <w:pStyle w:val="6"/>
        <w:spacing w:line="560" w:lineRule="exact"/>
        <w:ind w:firstLine="480"/>
        <w:rPr>
          <w:rFonts w:ascii="宋体" w:hAnsi="宋体"/>
          <w:sz w:val="28"/>
          <w:szCs w:val="28"/>
        </w:rPr>
      </w:pPr>
      <w:r>
        <w:rPr>
          <w:rFonts w:hint="eastAsia" w:ascii="宋体" w:hAnsi="宋体"/>
          <w:sz w:val="28"/>
          <w:szCs w:val="28"/>
          <w:shd w:val="clear" w:color="auto" w:fill="FFFFFF"/>
        </w:rPr>
        <w:t>（1）中标人必须在应用软件安装、调试、定制开发过程中现场提供分别针对系统管理人员、应用管理人员的培训。</w:t>
      </w:r>
    </w:p>
    <w:p w14:paraId="297B297D">
      <w:pPr>
        <w:pStyle w:val="6"/>
        <w:spacing w:line="560" w:lineRule="exact"/>
        <w:ind w:firstLine="480"/>
        <w:rPr>
          <w:rFonts w:ascii="宋体" w:hAnsi="宋体"/>
          <w:sz w:val="28"/>
          <w:szCs w:val="28"/>
        </w:rPr>
      </w:pPr>
      <w:r>
        <w:rPr>
          <w:rFonts w:hint="eastAsia" w:ascii="宋体" w:hAnsi="宋体"/>
          <w:sz w:val="28"/>
          <w:szCs w:val="28"/>
          <w:shd w:val="clear" w:color="auto" w:fill="FFFFFF"/>
        </w:rPr>
        <w:t>（2）中标人的培训教员应是项目组成人员并具有扎实的理论基础知识及实际工作经验，必须具备熟练的中文会话和书写能力。</w:t>
      </w:r>
    </w:p>
    <w:p w14:paraId="74F356CE">
      <w:pPr>
        <w:pStyle w:val="6"/>
        <w:spacing w:line="560" w:lineRule="exact"/>
        <w:ind w:firstLine="480"/>
        <w:rPr>
          <w:rFonts w:ascii="宋体" w:hAnsi="宋体"/>
          <w:sz w:val="28"/>
          <w:szCs w:val="28"/>
        </w:rPr>
      </w:pPr>
      <w:r>
        <w:rPr>
          <w:rFonts w:hint="eastAsia" w:ascii="宋体" w:hAnsi="宋体"/>
          <w:sz w:val="28"/>
          <w:szCs w:val="28"/>
          <w:shd w:val="clear" w:color="auto" w:fill="FFFFFF"/>
        </w:rPr>
        <w:t>（3）中标人必须为所有受训人员提供培训教材，所有的资料必须是中文书写。</w:t>
      </w:r>
    </w:p>
    <w:p w14:paraId="36561818">
      <w:pPr>
        <w:pStyle w:val="6"/>
        <w:spacing w:line="560" w:lineRule="exact"/>
        <w:ind w:firstLine="480"/>
        <w:rPr>
          <w:rFonts w:ascii="宋体" w:hAnsi="宋体"/>
          <w:sz w:val="28"/>
          <w:szCs w:val="28"/>
        </w:rPr>
      </w:pPr>
      <w:r>
        <w:rPr>
          <w:rFonts w:hint="eastAsia" w:ascii="宋体" w:hAnsi="宋体"/>
          <w:sz w:val="28"/>
          <w:szCs w:val="28"/>
          <w:shd w:val="clear" w:color="auto" w:fill="FFFFFF"/>
        </w:rPr>
        <w:t>（4）所有培训应是免费的。</w:t>
      </w:r>
    </w:p>
    <w:p w14:paraId="1FE722EB">
      <w:pPr>
        <w:pStyle w:val="14"/>
        <w:spacing w:line="560" w:lineRule="exact"/>
        <w:ind w:firstLine="422"/>
        <w:rPr>
          <w:sz w:val="28"/>
          <w:szCs w:val="28"/>
        </w:rPr>
      </w:pPr>
      <w:r>
        <w:rPr>
          <w:rStyle w:val="10"/>
          <w:rFonts w:hint="eastAsia" w:cs="宋体"/>
          <w:sz w:val="28"/>
          <w:szCs w:val="28"/>
          <w:shd w:val="clear" w:color="auto" w:fill="FFFFFF"/>
        </w:rPr>
        <w:t>7、</w:t>
      </w:r>
      <w:r>
        <w:rPr>
          <w:rFonts w:hint="eastAsia"/>
          <w:sz w:val="28"/>
          <w:szCs w:val="28"/>
        </w:rPr>
        <w:t>保密要求</w:t>
      </w:r>
    </w:p>
    <w:p w14:paraId="01334ED1">
      <w:pPr>
        <w:pStyle w:val="14"/>
        <w:spacing w:line="560" w:lineRule="exact"/>
        <w:ind w:firstLine="420"/>
        <w:rPr>
          <w:sz w:val="28"/>
          <w:szCs w:val="28"/>
        </w:rPr>
      </w:pPr>
      <w:r>
        <w:rPr>
          <w:rFonts w:hint="eastAsia"/>
          <w:sz w:val="28"/>
          <w:szCs w:val="28"/>
        </w:rPr>
        <w:t>（1）</w:t>
      </w:r>
      <w:r>
        <w:rPr>
          <w:rFonts w:hint="eastAsia"/>
          <w:sz w:val="28"/>
          <w:szCs w:val="28"/>
          <w:shd w:val="clear" w:color="auto" w:fill="FFFFFF"/>
        </w:rPr>
        <w:t>中标人</w:t>
      </w:r>
      <w:r>
        <w:rPr>
          <w:rFonts w:hint="eastAsia"/>
          <w:sz w:val="28"/>
          <w:szCs w:val="28"/>
        </w:rPr>
        <w:t>应当对合同的内容、因履行合同或在合同期间知悉的或收到的采购人的财务、技术、产品、数据信息或其他工作上的文件资料、工作内容等予以保密，不得向合同以外的任何第三方披露。</w:t>
      </w:r>
    </w:p>
    <w:p w14:paraId="2863594E">
      <w:pPr>
        <w:pStyle w:val="14"/>
        <w:spacing w:line="560" w:lineRule="exact"/>
        <w:ind w:firstLine="420"/>
        <w:rPr>
          <w:sz w:val="28"/>
          <w:szCs w:val="28"/>
        </w:rPr>
      </w:pPr>
      <w:r>
        <w:rPr>
          <w:rFonts w:hint="eastAsia"/>
          <w:sz w:val="28"/>
          <w:szCs w:val="28"/>
        </w:rPr>
        <w:t>（2）</w:t>
      </w:r>
      <w:r>
        <w:rPr>
          <w:rFonts w:hint="eastAsia"/>
          <w:sz w:val="28"/>
          <w:szCs w:val="28"/>
          <w:shd w:val="clear" w:color="auto" w:fill="FFFFFF"/>
        </w:rPr>
        <w:t>中标人</w:t>
      </w:r>
      <w:r>
        <w:rPr>
          <w:rFonts w:hint="eastAsia"/>
          <w:sz w:val="28"/>
          <w:szCs w:val="28"/>
        </w:rPr>
        <w:t>进入采购人工作区域的工作人员需严格履行保密义务。</w:t>
      </w:r>
    </w:p>
    <w:p w14:paraId="0665D3B7">
      <w:pPr>
        <w:pStyle w:val="14"/>
        <w:spacing w:line="560" w:lineRule="exact"/>
        <w:ind w:firstLine="420"/>
        <w:rPr>
          <w:sz w:val="28"/>
          <w:szCs w:val="28"/>
        </w:rPr>
      </w:pPr>
      <w:r>
        <w:rPr>
          <w:rFonts w:hint="eastAsia"/>
          <w:sz w:val="28"/>
          <w:szCs w:val="28"/>
        </w:rPr>
        <w:t>（3）</w:t>
      </w:r>
      <w:r>
        <w:rPr>
          <w:rFonts w:hint="eastAsia"/>
          <w:sz w:val="28"/>
          <w:szCs w:val="28"/>
          <w:shd w:val="clear" w:color="auto" w:fill="FFFFFF"/>
        </w:rPr>
        <w:t>中标人</w:t>
      </w:r>
      <w:r>
        <w:rPr>
          <w:rFonts w:hint="eastAsia"/>
          <w:sz w:val="28"/>
          <w:szCs w:val="28"/>
        </w:rPr>
        <w:t>需了解有关保密法律法规，知悉应当承担的保密义务和法律责伍，并庄重承诺：</w:t>
      </w:r>
    </w:p>
    <w:p w14:paraId="0B77D250">
      <w:pPr>
        <w:pStyle w:val="14"/>
        <w:spacing w:line="560" w:lineRule="exact"/>
        <w:ind w:firstLine="420"/>
        <w:rPr>
          <w:sz w:val="28"/>
          <w:szCs w:val="28"/>
        </w:rPr>
      </w:pPr>
      <w:r>
        <w:rPr>
          <w:rFonts w:hint="eastAsia"/>
          <w:sz w:val="28"/>
          <w:szCs w:val="28"/>
        </w:rPr>
        <w:t>（a）认真遵守国家保密法律、法规和规章制度，履行保密义务；</w:t>
      </w:r>
    </w:p>
    <w:p w14:paraId="0ECBF316">
      <w:pPr>
        <w:pStyle w:val="14"/>
        <w:spacing w:line="560" w:lineRule="exact"/>
        <w:ind w:firstLine="420"/>
        <w:rPr>
          <w:sz w:val="28"/>
          <w:szCs w:val="28"/>
        </w:rPr>
      </w:pPr>
      <w:r>
        <w:rPr>
          <w:rFonts w:hint="eastAsia"/>
          <w:sz w:val="28"/>
          <w:szCs w:val="28"/>
        </w:rPr>
        <w:t>（</w:t>
      </w:r>
      <w:r>
        <w:rPr>
          <w:rFonts w:hint="eastAsia" w:cs="Calibri"/>
          <w:sz w:val="28"/>
          <w:szCs w:val="28"/>
        </w:rPr>
        <w:t>b</w:t>
      </w:r>
      <w:r>
        <w:rPr>
          <w:rFonts w:hint="eastAsia"/>
          <w:sz w:val="28"/>
          <w:szCs w:val="28"/>
        </w:rPr>
        <w:t>）不提供虚假个人信息，自愿接受保密审查；</w:t>
      </w:r>
    </w:p>
    <w:p w14:paraId="41394EAC">
      <w:pPr>
        <w:pStyle w:val="14"/>
        <w:spacing w:line="560" w:lineRule="exact"/>
        <w:ind w:firstLine="420"/>
        <w:rPr>
          <w:sz w:val="28"/>
          <w:szCs w:val="28"/>
        </w:rPr>
      </w:pPr>
      <w:r>
        <w:rPr>
          <w:rFonts w:hint="eastAsia"/>
          <w:sz w:val="28"/>
          <w:szCs w:val="28"/>
        </w:rPr>
        <w:t>（</w:t>
      </w:r>
      <w:r>
        <w:rPr>
          <w:rFonts w:hint="eastAsia" w:cs="Calibri"/>
          <w:sz w:val="28"/>
          <w:szCs w:val="28"/>
        </w:rPr>
        <w:t>c</w:t>
      </w:r>
      <w:r>
        <w:rPr>
          <w:rFonts w:hint="eastAsia"/>
          <w:sz w:val="28"/>
          <w:szCs w:val="28"/>
        </w:rPr>
        <w:t>）不违规记录、存储、复制国家秘密信息，不违规留存国家秘密载体；</w:t>
      </w:r>
    </w:p>
    <w:p w14:paraId="4E8BFD1B">
      <w:pPr>
        <w:pStyle w:val="14"/>
        <w:spacing w:line="560" w:lineRule="exact"/>
        <w:ind w:firstLine="420"/>
        <w:rPr>
          <w:sz w:val="28"/>
          <w:szCs w:val="28"/>
        </w:rPr>
      </w:pPr>
      <w:r>
        <w:rPr>
          <w:rFonts w:hint="eastAsia"/>
          <w:sz w:val="28"/>
          <w:szCs w:val="28"/>
        </w:rPr>
        <w:t>（</w:t>
      </w:r>
      <w:r>
        <w:rPr>
          <w:rFonts w:hint="eastAsia" w:cs="Calibri"/>
          <w:sz w:val="28"/>
          <w:szCs w:val="28"/>
        </w:rPr>
        <w:t>d</w:t>
      </w:r>
      <w:r>
        <w:rPr>
          <w:rFonts w:hint="eastAsia"/>
          <w:sz w:val="28"/>
          <w:szCs w:val="28"/>
        </w:rPr>
        <w:t>）不以任何方式泄露所接触和知悉的国家秘密；</w:t>
      </w:r>
    </w:p>
    <w:p w14:paraId="6B79C415">
      <w:pPr>
        <w:pStyle w:val="14"/>
        <w:spacing w:line="560" w:lineRule="exact"/>
        <w:ind w:firstLine="420"/>
        <w:rPr>
          <w:sz w:val="28"/>
          <w:szCs w:val="28"/>
        </w:rPr>
      </w:pPr>
      <w:r>
        <w:rPr>
          <w:rFonts w:hint="eastAsia"/>
          <w:sz w:val="28"/>
          <w:szCs w:val="28"/>
        </w:rPr>
        <w:t>（</w:t>
      </w:r>
      <w:r>
        <w:rPr>
          <w:rFonts w:hint="eastAsia" w:cs="Calibri"/>
          <w:sz w:val="28"/>
          <w:szCs w:val="28"/>
        </w:rPr>
        <w:t>e</w:t>
      </w:r>
      <w:r>
        <w:rPr>
          <w:rFonts w:hint="eastAsia"/>
          <w:sz w:val="28"/>
          <w:szCs w:val="28"/>
        </w:rPr>
        <w:t>）未经采购人审查批准，不擅自发表涉及未公开工作内容的文章、著述；</w:t>
      </w:r>
    </w:p>
    <w:p w14:paraId="39643A36">
      <w:pPr>
        <w:pStyle w:val="14"/>
        <w:spacing w:line="560" w:lineRule="exact"/>
        <w:ind w:firstLine="420"/>
        <w:rPr>
          <w:sz w:val="28"/>
          <w:szCs w:val="28"/>
        </w:rPr>
      </w:pPr>
      <w:r>
        <w:rPr>
          <w:rFonts w:hint="eastAsia"/>
          <w:sz w:val="28"/>
          <w:szCs w:val="28"/>
        </w:rPr>
        <w:t>（</w:t>
      </w:r>
      <w:r>
        <w:rPr>
          <w:rFonts w:hint="eastAsia" w:cs="Calibri"/>
          <w:sz w:val="28"/>
          <w:szCs w:val="28"/>
        </w:rPr>
        <w:t>f</w:t>
      </w:r>
      <w:r>
        <w:rPr>
          <w:rFonts w:hint="eastAsia"/>
          <w:sz w:val="28"/>
          <w:szCs w:val="28"/>
        </w:rPr>
        <w:t>）若违反保密承诺，自愿承担有关法律后果。</w:t>
      </w:r>
    </w:p>
    <w:p w14:paraId="551A08B3">
      <w:pPr>
        <w:pStyle w:val="14"/>
        <w:spacing w:line="560" w:lineRule="exact"/>
        <w:ind w:firstLine="420"/>
        <w:rPr>
          <w:sz w:val="28"/>
          <w:szCs w:val="28"/>
        </w:rPr>
      </w:pPr>
      <w:r>
        <w:rPr>
          <w:rFonts w:hint="eastAsia" w:cs="Calibri"/>
          <w:sz w:val="28"/>
          <w:szCs w:val="28"/>
        </w:rPr>
        <w:t>（4）中标</w:t>
      </w:r>
      <w:r>
        <w:rPr>
          <w:rFonts w:hint="eastAsia"/>
          <w:sz w:val="28"/>
          <w:szCs w:val="28"/>
        </w:rPr>
        <w:t>人违反本条约定泄露采购人的涉密信息的，应承担相应的法律责任，造成采购人损失的，中标人应当依法承担赔偿责任。</w:t>
      </w:r>
    </w:p>
    <w:p w14:paraId="62CCA81F">
      <w:pPr>
        <w:pStyle w:val="14"/>
        <w:spacing w:line="560" w:lineRule="exact"/>
        <w:ind w:firstLine="420"/>
        <w:rPr>
          <w:rStyle w:val="10"/>
          <w:b w:val="0"/>
          <w:bCs w:val="0"/>
          <w:sz w:val="28"/>
          <w:szCs w:val="28"/>
          <w:shd w:val="clear" w:color="auto" w:fill="FFFFFF"/>
        </w:rPr>
      </w:pPr>
      <w:r>
        <w:rPr>
          <w:rFonts w:hint="eastAsia"/>
          <w:sz w:val="28"/>
          <w:szCs w:val="28"/>
        </w:rPr>
        <w:t>（5）本条款不因合同届满或解除而失效。</w:t>
      </w:r>
    </w:p>
    <w:p w14:paraId="605A9915">
      <w:pPr>
        <w:pStyle w:val="6"/>
        <w:spacing w:line="560" w:lineRule="exact"/>
        <w:ind w:firstLine="480"/>
        <w:rPr>
          <w:rFonts w:ascii="宋体" w:hAnsi="宋体"/>
          <w:sz w:val="28"/>
          <w:szCs w:val="28"/>
        </w:rPr>
      </w:pPr>
      <w:r>
        <w:rPr>
          <w:rStyle w:val="10"/>
          <w:rFonts w:hint="eastAsia" w:ascii="宋体" w:hAnsi="宋体"/>
          <w:sz w:val="28"/>
          <w:szCs w:val="28"/>
          <w:shd w:val="clear" w:color="auto" w:fill="FFFFFF"/>
        </w:rPr>
        <w:t>8、其他要求</w:t>
      </w:r>
    </w:p>
    <w:p w14:paraId="0EAFA315">
      <w:pPr>
        <w:pStyle w:val="6"/>
        <w:spacing w:line="560" w:lineRule="exact"/>
        <w:ind w:firstLine="480"/>
        <w:rPr>
          <w:rFonts w:ascii="宋体" w:hAnsi="宋体"/>
          <w:sz w:val="28"/>
          <w:szCs w:val="28"/>
        </w:rPr>
      </w:pPr>
      <w:r>
        <w:rPr>
          <w:rFonts w:hint="eastAsia" w:ascii="宋体" w:hAnsi="宋体"/>
          <w:sz w:val="28"/>
          <w:szCs w:val="28"/>
          <w:shd w:val="clear" w:color="auto" w:fill="FFFFFF"/>
        </w:rPr>
        <w:t>（1）本项目不允许中标人以任何名义和理由进行转包，如有发现，采购人有权单方中止合同，且中标人必须赔偿由此给采购人带来的一切损失。</w:t>
      </w:r>
    </w:p>
    <w:p w14:paraId="0310180D">
      <w:pPr>
        <w:pStyle w:val="6"/>
        <w:spacing w:line="560" w:lineRule="exact"/>
        <w:ind w:firstLine="480"/>
        <w:rPr>
          <w:rFonts w:ascii="宋体" w:hAnsi="宋体"/>
          <w:sz w:val="28"/>
          <w:szCs w:val="28"/>
        </w:rPr>
      </w:pPr>
      <w:r>
        <w:rPr>
          <w:rFonts w:hint="eastAsia" w:ascii="宋体" w:hAnsi="宋体"/>
          <w:sz w:val="28"/>
          <w:szCs w:val="28"/>
          <w:shd w:val="clear" w:color="auto" w:fill="FFFFFF"/>
        </w:rPr>
        <w:t>（2）本招标文件要求项目履行期间所发生的一切费用均包含在投标总价中。对于采购人提出的技术实现方式、手段和要求，中标人必须无条件服从并完成有关工作，不再另计开发费用。</w:t>
      </w:r>
    </w:p>
    <w:p w14:paraId="1B775FC6">
      <w:pPr>
        <w:pStyle w:val="6"/>
        <w:spacing w:line="560" w:lineRule="exact"/>
        <w:ind w:firstLine="480"/>
        <w:rPr>
          <w:rFonts w:ascii="宋体" w:hAnsi="宋体"/>
          <w:sz w:val="28"/>
          <w:szCs w:val="28"/>
        </w:rPr>
      </w:pPr>
      <w:r>
        <w:rPr>
          <w:rFonts w:hint="eastAsia" w:ascii="宋体" w:hAnsi="宋体"/>
          <w:sz w:val="28"/>
          <w:szCs w:val="28"/>
          <w:shd w:val="clear" w:color="auto" w:fill="FFFFFF"/>
        </w:rPr>
        <w:t>（3）采购人在授予合同及项目实施过程中有权根据实际需求对本招标文件的服务内容进行部分调整。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EE1E51D-3034-4988-B4F7-5CA9920C0F2A}"/>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embedRegular r:id="rId2" w:fontKey="{A64D26C9-57E9-4E55-BF32-953A40646F4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YWZmYjg5YTRjM2UwYWVjNDY0YzI0N2QxNTRjMDkifQ=="/>
  </w:docVars>
  <w:rsids>
    <w:rsidRoot w:val="000D0352"/>
    <w:rsid w:val="000B4491"/>
    <w:rsid w:val="000D0352"/>
    <w:rsid w:val="001A19EB"/>
    <w:rsid w:val="00354FDC"/>
    <w:rsid w:val="00384E2E"/>
    <w:rsid w:val="0044391B"/>
    <w:rsid w:val="00531150"/>
    <w:rsid w:val="006C68D2"/>
    <w:rsid w:val="00971793"/>
    <w:rsid w:val="009E46EC"/>
    <w:rsid w:val="00A23829"/>
    <w:rsid w:val="00D04133"/>
    <w:rsid w:val="00D4036D"/>
    <w:rsid w:val="00E00C6A"/>
    <w:rsid w:val="00EA2FDD"/>
    <w:rsid w:val="00EA774A"/>
    <w:rsid w:val="00F17AFB"/>
    <w:rsid w:val="00F47346"/>
    <w:rsid w:val="00F70D10"/>
    <w:rsid w:val="00F91E89"/>
    <w:rsid w:val="073822EC"/>
    <w:rsid w:val="0A1D3D61"/>
    <w:rsid w:val="40D30B15"/>
    <w:rsid w:val="41430F47"/>
    <w:rsid w:val="76F6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Plain Text"/>
    <w:basedOn w:val="1"/>
    <w:link w:val="13"/>
    <w:qFormat/>
    <w:uiPriority w:val="0"/>
    <w:rPr>
      <w:rFonts w:ascii="宋体" w:hAnsi="Courier New" w:eastAsia="宋体" w:cs="Times New Roman"/>
      <w:szCs w:val="20"/>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line="300" w:lineRule="auto"/>
    </w:pPr>
    <w:rPr>
      <w:rFonts w:ascii="Times New Roman" w:hAnsi="Times New Roman" w:eastAsia="宋体" w:cs="Times New Roman"/>
      <w:sz w:val="24"/>
      <w:szCs w:val="20"/>
    </w:rPr>
  </w:style>
  <w:style w:type="paragraph" w:styleId="7">
    <w:name w:val="annotation subject"/>
    <w:basedOn w:val="2"/>
    <w:next w:val="2"/>
    <w:link w:val="19"/>
    <w:semiHidden/>
    <w:unhideWhenUsed/>
    <w:uiPriority w:val="99"/>
    <w:rPr>
      <w:b/>
      <w:bCs/>
    </w:rPr>
  </w:style>
  <w:style w:type="character" w:styleId="10">
    <w:name w:val="Strong"/>
    <w:qFormat/>
    <w:uiPriority w:val="22"/>
    <w:rPr>
      <w:rFonts w:eastAsia="宋体"/>
      <w:b/>
      <w:bCs/>
      <w:kern w:val="2"/>
      <w:sz w:val="24"/>
      <w:szCs w:val="24"/>
      <w:lang w:val="en-US" w:eastAsia="zh-CN" w:bidi="ar-SA"/>
    </w:rPr>
  </w:style>
  <w:style w:type="character" w:styleId="11">
    <w:name w:val="annotation reference"/>
    <w:basedOn w:val="9"/>
    <w:semiHidden/>
    <w:unhideWhenUsed/>
    <w:uiPriority w:val="99"/>
    <w:rPr>
      <w:sz w:val="21"/>
      <w:szCs w:val="21"/>
    </w:rPr>
  </w:style>
  <w:style w:type="character" w:customStyle="1" w:styleId="12">
    <w:name w:val="纯文本 Char"/>
    <w:basedOn w:val="9"/>
    <w:semiHidden/>
    <w:qFormat/>
    <w:uiPriority w:val="99"/>
    <w:rPr>
      <w:rFonts w:ascii="宋体" w:hAnsi="Courier New" w:eastAsia="宋体" w:cs="Courier New"/>
      <w:szCs w:val="21"/>
    </w:rPr>
  </w:style>
  <w:style w:type="character" w:customStyle="1" w:styleId="13">
    <w:name w:val="纯文本 Char1"/>
    <w:link w:val="3"/>
    <w:qFormat/>
    <w:uiPriority w:val="0"/>
    <w:rPr>
      <w:rFonts w:ascii="宋体" w:hAnsi="Courier New" w:eastAsia="宋体" w:cs="Times New Roman"/>
      <w:szCs w:val="20"/>
    </w:rPr>
  </w:style>
  <w:style w:type="paragraph" w:customStyle="1" w:styleId="14">
    <w:name w:val="正文3"/>
    <w:basedOn w:val="1"/>
    <w:link w:val="15"/>
    <w:qFormat/>
    <w:uiPriority w:val="0"/>
    <w:pPr>
      <w:spacing w:line="360" w:lineRule="auto"/>
      <w:ind w:firstLine="360" w:firstLineChars="150"/>
    </w:pPr>
    <w:rPr>
      <w:rFonts w:ascii="宋体" w:hAnsi="宋体" w:eastAsia="宋体" w:cs="Times New Roman"/>
      <w:sz w:val="24"/>
      <w:szCs w:val="24"/>
    </w:rPr>
  </w:style>
  <w:style w:type="character" w:customStyle="1" w:styleId="15">
    <w:name w:val="正文3 字符"/>
    <w:link w:val="14"/>
    <w:qFormat/>
    <w:uiPriority w:val="0"/>
    <w:rPr>
      <w:rFonts w:ascii="宋体" w:hAnsi="宋体" w:eastAsia="宋体" w:cs="Times New Roman"/>
      <w:sz w:val="24"/>
      <w:szCs w:val="24"/>
    </w:rPr>
  </w:style>
  <w:style w:type="character" w:customStyle="1" w:styleId="16">
    <w:name w:val="页眉 Char"/>
    <w:basedOn w:val="9"/>
    <w:link w:val="5"/>
    <w:uiPriority w:val="99"/>
    <w:rPr>
      <w:kern w:val="2"/>
      <w:sz w:val="18"/>
      <w:szCs w:val="18"/>
    </w:rPr>
  </w:style>
  <w:style w:type="character" w:customStyle="1" w:styleId="17">
    <w:name w:val="页脚 Char"/>
    <w:basedOn w:val="9"/>
    <w:link w:val="4"/>
    <w:qFormat/>
    <w:uiPriority w:val="99"/>
    <w:rPr>
      <w:kern w:val="2"/>
      <w:sz w:val="18"/>
      <w:szCs w:val="18"/>
    </w:rPr>
  </w:style>
  <w:style w:type="character" w:customStyle="1" w:styleId="18">
    <w:name w:val="批注文字 Char"/>
    <w:basedOn w:val="9"/>
    <w:link w:val="2"/>
    <w:semiHidden/>
    <w:uiPriority w:val="99"/>
    <w:rPr>
      <w:kern w:val="2"/>
      <w:sz w:val="21"/>
      <w:szCs w:val="22"/>
    </w:rPr>
  </w:style>
  <w:style w:type="character" w:customStyle="1" w:styleId="19">
    <w:name w:val="批注主题 Char"/>
    <w:basedOn w:val="18"/>
    <w:link w:val="7"/>
    <w:semiHidden/>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福建省市场监管局</Company>
  <Pages>8</Pages>
  <Words>3954</Words>
  <Characters>4054</Characters>
  <Lines>29</Lines>
  <Paragraphs>8</Paragraphs>
  <TotalTime>6</TotalTime>
  <ScaleCrop>false</ScaleCrop>
  <LinksUpToDate>false</LinksUpToDate>
  <CharactersWithSpaces>4058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2023-03-27T09:28:00Z</dcterms:created>
  <dc:creator>魏祯</dc:creator>
  <cp:lastModifiedBy>苏林伟</cp:lastModifiedBy>
  <dcterms:modified xsi:type="dcterms:W3CDTF">2025-07-22T01:55:30Z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30FFB50FDE364B36B92416164F75F716</vt:lpwstr>
  </property>
  <property fmtid="{D5CDD505-2E9C-101B-9397-08002B2CF9AE}" pid="4" name="KSOTemplateDocerSaveRecord">
    <vt:lpwstr>eyJoZGlkIjoiY2YyMzBiMTJkYzgwMmM4NmRkZWZmYzQ3ZDNjZDQwNTMiLCJ1c2VySWQiOiIzMjk5MDc3NzIifQ==</vt:lpwstr>
  </property>
</Properties>
</file>