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keepLines/>
        <w:pageBreakBefore w:val="0"/>
        <w:numPr>
          <w:ilvl w:val="-1"/>
          <w:numId w:val="0"/>
        </w:numPr>
        <w:spacing w:beforeAutospacing="0" w:afterAutospacing="0" w:line="360" w:lineRule="auto"/>
        <w:ind w:left="0"/>
        <w:jc w:val="center"/>
        <w:outlineLvl w:val="0"/>
        <w:rPr>
          <w:rFonts w:hint="eastAsia" w:ascii="宋体" w:hAnsi="宋体" w:eastAsia="宋体"/>
          <w:b/>
          <w:bCs w:val="0"/>
          <w:color w:val="auto"/>
          <w:sz w:val="44"/>
          <w:szCs w:val="44"/>
        </w:rPr>
      </w:pPr>
      <w:r>
        <w:rPr>
          <w:rFonts w:hint="eastAsia" w:ascii="宋体" w:hAnsi="宋体" w:eastAsia="宋体"/>
          <w:b/>
          <w:bCs w:val="0"/>
          <w:color w:val="auto"/>
          <w:sz w:val="44"/>
          <w:szCs w:val="44"/>
        </w:rPr>
        <w:t>2023年度华林路办公区机房及网络设备</w:t>
      </w:r>
    </w:p>
    <w:p>
      <w:pPr>
        <w:pStyle w:val="21"/>
        <w:keepNext/>
        <w:keepLines/>
        <w:pageBreakBefore w:val="0"/>
        <w:numPr>
          <w:ilvl w:val="-1"/>
          <w:numId w:val="0"/>
        </w:numPr>
        <w:spacing w:beforeAutospacing="0" w:afterAutospacing="0" w:line="360" w:lineRule="auto"/>
        <w:ind w:left="0"/>
        <w:jc w:val="center"/>
        <w:outlineLvl w:val="0"/>
        <w:rPr>
          <w:rFonts w:hint="default" w:ascii="宋体" w:hAnsi="宋体" w:eastAsia="宋体"/>
          <w:b/>
          <w:bCs w:val="0"/>
          <w:color w:val="auto"/>
          <w:sz w:val="44"/>
          <w:szCs w:val="44"/>
        </w:rPr>
      </w:pPr>
      <w:r>
        <w:rPr>
          <w:rFonts w:hint="eastAsia" w:ascii="宋体" w:hAnsi="宋体" w:eastAsia="宋体"/>
          <w:b/>
          <w:bCs w:val="0"/>
          <w:color w:val="auto"/>
          <w:sz w:val="44"/>
          <w:szCs w:val="44"/>
        </w:rPr>
        <w:t>综合运维服务招标要求</w:t>
      </w:r>
    </w:p>
    <w:p>
      <w:pPr>
        <w:outlineLvl w:val="9"/>
        <w:rPr>
          <w:rFonts w:hint="eastAsia" w:ascii="宋体" w:hAnsi="宋体"/>
          <w:b/>
          <w:color w:val="auto"/>
          <w:sz w:val="30"/>
          <w:szCs w:val="30"/>
        </w:rPr>
      </w:pPr>
    </w:p>
    <w:p>
      <w:pPr>
        <w:outlineLvl w:val="0"/>
        <w:rPr>
          <w:rFonts w:ascii="宋体" w:hAnsi="宋体"/>
          <w:b/>
          <w:color w:val="auto"/>
          <w:sz w:val="30"/>
          <w:szCs w:val="30"/>
        </w:rPr>
      </w:pPr>
      <w:r>
        <w:rPr>
          <w:rFonts w:hint="eastAsia" w:ascii="宋体" w:hAnsi="宋体"/>
          <w:b/>
          <w:color w:val="auto"/>
          <w:sz w:val="30"/>
          <w:szCs w:val="30"/>
        </w:rPr>
        <w:t>一、货物服务一览表</w:t>
      </w:r>
    </w:p>
    <w:p>
      <w:pPr>
        <w:pStyle w:val="11"/>
        <w:snapToGrid w:val="0"/>
        <w:spacing w:line="280" w:lineRule="exact"/>
        <w:ind w:left="-105" w:leftChars="-50" w:right="-105" w:rightChars="-50"/>
        <w:jc w:val="right"/>
        <w:rPr>
          <w:rFonts w:hAnsi="宋体"/>
          <w:b/>
          <w:color w:val="auto"/>
          <w:szCs w:val="24"/>
        </w:rPr>
      </w:pPr>
      <w:r>
        <w:rPr>
          <w:rFonts w:hint="eastAsia" w:hAnsi="宋体"/>
          <w:b/>
          <w:color w:val="auto"/>
          <w:szCs w:val="24"/>
        </w:rPr>
        <w:t>单位：元/人民币</w:t>
      </w:r>
    </w:p>
    <w:tbl>
      <w:tblPr>
        <w:tblStyle w:val="18"/>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38"/>
        <w:gridCol w:w="2513"/>
        <w:gridCol w:w="968"/>
        <w:gridCol w:w="192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blHeader/>
          <w:jc w:val="center"/>
        </w:trPr>
        <w:tc>
          <w:tcPr>
            <w:tcW w:w="811" w:type="dxa"/>
            <w:shd w:val="clear" w:color="auto" w:fill="CCCCCC"/>
            <w:vAlign w:val="center"/>
          </w:tcPr>
          <w:p>
            <w:pPr>
              <w:pStyle w:val="11"/>
              <w:snapToGrid w:val="0"/>
              <w:spacing w:line="280" w:lineRule="exact"/>
              <w:ind w:left="-105" w:leftChars="-50" w:right="-105" w:rightChars="-50"/>
              <w:jc w:val="center"/>
              <w:rPr>
                <w:rFonts w:hAnsi="宋体"/>
                <w:b/>
                <w:color w:val="auto"/>
                <w:szCs w:val="24"/>
              </w:rPr>
            </w:pPr>
            <w:r>
              <w:rPr>
                <w:rFonts w:hint="eastAsia" w:hAnsi="宋体"/>
                <w:b/>
                <w:color w:val="auto"/>
                <w:szCs w:val="24"/>
              </w:rPr>
              <w:t>合同</w:t>
            </w:r>
          </w:p>
          <w:p>
            <w:pPr>
              <w:pStyle w:val="11"/>
              <w:snapToGrid w:val="0"/>
              <w:spacing w:line="280" w:lineRule="exact"/>
              <w:ind w:left="-105" w:leftChars="-50" w:right="-105" w:rightChars="-50"/>
              <w:jc w:val="center"/>
              <w:rPr>
                <w:rFonts w:hAnsi="宋体"/>
                <w:b/>
                <w:color w:val="auto"/>
                <w:szCs w:val="24"/>
              </w:rPr>
            </w:pPr>
            <w:r>
              <w:rPr>
                <w:rFonts w:hint="eastAsia" w:hAnsi="宋体"/>
                <w:b/>
                <w:color w:val="auto"/>
                <w:szCs w:val="24"/>
              </w:rPr>
              <w:t xml:space="preserve"> 包</w:t>
            </w:r>
          </w:p>
        </w:tc>
        <w:tc>
          <w:tcPr>
            <w:tcW w:w="838" w:type="dxa"/>
            <w:shd w:val="clear" w:color="auto" w:fill="CCCCCC"/>
            <w:vAlign w:val="center"/>
          </w:tcPr>
          <w:p>
            <w:pPr>
              <w:pStyle w:val="11"/>
              <w:snapToGrid w:val="0"/>
              <w:spacing w:line="280" w:lineRule="exact"/>
              <w:ind w:left="-105" w:leftChars="-50" w:right="-105" w:rightChars="-50"/>
              <w:jc w:val="center"/>
              <w:rPr>
                <w:rFonts w:hAnsi="宋体"/>
                <w:b/>
                <w:color w:val="auto"/>
                <w:szCs w:val="24"/>
              </w:rPr>
            </w:pPr>
            <w:r>
              <w:rPr>
                <w:rFonts w:hint="eastAsia" w:hAnsi="宋体"/>
                <w:b/>
                <w:color w:val="auto"/>
                <w:szCs w:val="24"/>
              </w:rPr>
              <w:t>序号</w:t>
            </w:r>
          </w:p>
        </w:tc>
        <w:tc>
          <w:tcPr>
            <w:tcW w:w="2513" w:type="dxa"/>
            <w:shd w:val="clear" w:color="auto" w:fill="CCCCCC"/>
            <w:vAlign w:val="center"/>
          </w:tcPr>
          <w:p>
            <w:pPr>
              <w:pStyle w:val="11"/>
              <w:snapToGrid w:val="0"/>
              <w:spacing w:line="280" w:lineRule="exact"/>
              <w:jc w:val="center"/>
              <w:rPr>
                <w:rFonts w:hAnsi="宋体"/>
                <w:b/>
                <w:color w:val="auto"/>
                <w:szCs w:val="24"/>
              </w:rPr>
            </w:pPr>
            <w:r>
              <w:rPr>
                <w:rFonts w:hint="eastAsia" w:hAnsi="宋体"/>
                <w:b/>
                <w:color w:val="auto"/>
                <w:szCs w:val="24"/>
              </w:rPr>
              <w:t>品目名称</w:t>
            </w:r>
          </w:p>
        </w:tc>
        <w:tc>
          <w:tcPr>
            <w:tcW w:w="968" w:type="dxa"/>
            <w:shd w:val="clear" w:color="auto" w:fill="CCCCCC"/>
            <w:vAlign w:val="center"/>
          </w:tcPr>
          <w:p>
            <w:pPr>
              <w:pStyle w:val="11"/>
              <w:snapToGrid w:val="0"/>
              <w:spacing w:line="280" w:lineRule="exact"/>
              <w:ind w:left="-105" w:leftChars="-50" w:right="-105" w:rightChars="-50"/>
              <w:jc w:val="center"/>
              <w:rPr>
                <w:rFonts w:hAnsi="宋体"/>
                <w:b/>
                <w:color w:val="auto"/>
                <w:szCs w:val="24"/>
              </w:rPr>
            </w:pPr>
            <w:r>
              <w:rPr>
                <w:rFonts w:hint="eastAsia" w:hAnsi="宋体"/>
                <w:b/>
                <w:color w:val="auto"/>
                <w:szCs w:val="24"/>
              </w:rPr>
              <w:t>数量</w:t>
            </w:r>
          </w:p>
        </w:tc>
        <w:tc>
          <w:tcPr>
            <w:tcW w:w="1926" w:type="dxa"/>
            <w:shd w:val="clear" w:color="auto" w:fill="CCCCCC"/>
            <w:vAlign w:val="center"/>
          </w:tcPr>
          <w:p>
            <w:pPr>
              <w:widowControl/>
              <w:spacing w:line="280" w:lineRule="exact"/>
              <w:jc w:val="center"/>
              <w:rPr>
                <w:rFonts w:ascii="宋体" w:hAnsi="宋体"/>
                <w:b/>
                <w:color w:val="auto"/>
              </w:rPr>
            </w:pPr>
            <w:r>
              <w:rPr>
                <w:rFonts w:hint="eastAsia" w:ascii="宋体" w:hAnsi="宋体"/>
                <w:b/>
                <w:color w:val="auto"/>
              </w:rPr>
              <w:t>最高限价(元)</w:t>
            </w:r>
          </w:p>
        </w:tc>
        <w:tc>
          <w:tcPr>
            <w:tcW w:w="1887" w:type="dxa"/>
            <w:shd w:val="clear" w:color="auto" w:fill="CCCCCC"/>
            <w:vAlign w:val="center"/>
          </w:tcPr>
          <w:p>
            <w:pPr>
              <w:pStyle w:val="11"/>
              <w:snapToGrid w:val="0"/>
              <w:spacing w:line="280" w:lineRule="exact"/>
              <w:ind w:left="-53" w:leftChars="-25" w:right="-53" w:rightChars="-25"/>
              <w:jc w:val="center"/>
              <w:rPr>
                <w:rFonts w:hAnsi="宋体"/>
                <w:b/>
                <w:color w:val="auto"/>
                <w:szCs w:val="24"/>
              </w:rPr>
            </w:pPr>
            <w:r>
              <w:rPr>
                <w:rFonts w:hint="eastAsia" w:hAnsi="宋体"/>
                <w:b/>
                <w:color w:val="auto"/>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811" w:type="dxa"/>
            <w:vAlign w:val="center"/>
          </w:tcPr>
          <w:p>
            <w:pPr>
              <w:jc w:val="center"/>
              <w:rPr>
                <w:rFonts w:ascii="宋体" w:hAnsi="宋体"/>
                <w:color w:val="auto"/>
              </w:rPr>
            </w:pPr>
            <w:r>
              <w:rPr>
                <w:rFonts w:hint="eastAsia" w:ascii="宋体" w:hAnsi="宋体"/>
                <w:color w:val="auto"/>
              </w:rPr>
              <w:t>1</w:t>
            </w:r>
          </w:p>
        </w:tc>
        <w:tc>
          <w:tcPr>
            <w:tcW w:w="838" w:type="dxa"/>
            <w:vAlign w:val="center"/>
          </w:tcPr>
          <w:p>
            <w:pPr>
              <w:jc w:val="center"/>
              <w:rPr>
                <w:rFonts w:ascii="宋体" w:hAnsi="宋体"/>
                <w:color w:val="auto"/>
              </w:rPr>
            </w:pPr>
            <w:r>
              <w:rPr>
                <w:rFonts w:hint="eastAsia" w:ascii="宋体" w:hAnsi="宋体"/>
                <w:color w:val="auto"/>
              </w:rPr>
              <w:t>1-1</w:t>
            </w:r>
          </w:p>
        </w:tc>
        <w:tc>
          <w:tcPr>
            <w:tcW w:w="2513" w:type="dxa"/>
            <w:vAlign w:val="center"/>
          </w:tcPr>
          <w:p>
            <w:pPr>
              <w:textAlignment w:val="center"/>
              <w:rPr>
                <w:rFonts w:ascii="宋体" w:hAnsi="宋体"/>
                <w:color w:val="auto"/>
              </w:rPr>
            </w:pPr>
            <w:r>
              <w:rPr>
                <w:rFonts w:hint="eastAsia" w:ascii="宋体" w:hAnsi="宋体"/>
                <w:color w:val="auto"/>
              </w:rPr>
              <w:t>华林路办公区机房及网络设备综合运维服务</w:t>
            </w:r>
          </w:p>
        </w:tc>
        <w:tc>
          <w:tcPr>
            <w:tcW w:w="968" w:type="dxa"/>
            <w:vAlign w:val="center"/>
          </w:tcPr>
          <w:p>
            <w:pPr>
              <w:jc w:val="center"/>
              <w:rPr>
                <w:rFonts w:ascii="宋体" w:hAnsi="宋体"/>
                <w:color w:val="auto"/>
              </w:rPr>
            </w:pPr>
            <w:r>
              <w:rPr>
                <w:rFonts w:hint="eastAsia" w:ascii="宋体" w:hAnsi="宋体"/>
                <w:color w:val="auto"/>
              </w:rPr>
              <w:t>1项</w:t>
            </w:r>
          </w:p>
        </w:tc>
        <w:tc>
          <w:tcPr>
            <w:tcW w:w="1926" w:type="dxa"/>
            <w:vAlign w:val="center"/>
          </w:tcPr>
          <w:p>
            <w:pPr>
              <w:spacing w:line="276" w:lineRule="auto"/>
              <w:jc w:val="center"/>
              <w:rPr>
                <w:rFonts w:ascii="宋体" w:hAnsi="宋体"/>
                <w:color w:val="auto"/>
              </w:rPr>
            </w:pPr>
            <w:r>
              <w:rPr>
                <w:rFonts w:hint="eastAsia" w:ascii="宋体" w:hAnsi="宋体"/>
                <w:color w:val="auto"/>
                <w:szCs w:val="24"/>
                <w:lang w:val="en-US" w:eastAsia="zh-CN"/>
              </w:rPr>
              <w:t>询价</w:t>
            </w:r>
          </w:p>
        </w:tc>
        <w:tc>
          <w:tcPr>
            <w:tcW w:w="1887" w:type="dxa"/>
            <w:vMerge w:val="restart"/>
            <w:vAlign w:val="center"/>
          </w:tcPr>
          <w:p>
            <w:pPr>
              <w:jc w:val="center"/>
              <w:rPr>
                <w:rFonts w:ascii="宋体" w:hAnsi="宋体"/>
                <w:color w:val="auto"/>
              </w:rPr>
            </w:pPr>
            <w:r>
              <w:rPr>
                <w:rFonts w:hint="eastAsia" w:ascii="宋体" w:hAnsi="宋体"/>
                <w:color w:val="auto"/>
              </w:rPr>
              <w:t>详见招标参数要求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5130" w:type="dxa"/>
            <w:gridSpan w:val="4"/>
            <w:vAlign w:val="center"/>
          </w:tcPr>
          <w:p>
            <w:pPr>
              <w:spacing w:line="276" w:lineRule="auto"/>
              <w:jc w:val="center"/>
              <w:rPr>
                <w:rFonts w:ascii="宋体" w:hAnsi="宋体"/>
                <w:color w:val="auto"/>
                <w:szCs w:val="24"/>
              </w:rPr>
            </w:pPr>
            <w:r>
              <w:rPr>
                <w:rFonts w:hint="eastAsia" w:ascii="宋体" w:hAnsi="宋体"/>
                <w:color w:val="auto"/>
                <w:szCs w:val="24"/>
              </w:rPr>
              <w:t>合  计</w:t>
            </w:r>
          </w:p>
        </w:tc>
        <w:tc>
          <w:tcPr>
            <w:tcW w:w="1926" w:type="dxa"/>
            <w:vAlign w:val="center"/>
          </w:tcPr>
          <w:p>
            <w:pPr>
              <w:spacing w:line="276" w:lineRule="auto"/>
              <w:jc w:val="center"/>
              <w:rPr>
                <w:rFonts w:ascii="宋体" w:hAnsi="宋体"/>
                <w:color w:val="auto"/>
                <w:szCs w:val="24"/>
              </w:rPr>
            </w:pPr>
          </w:p>
        </w:tc>
        <w:tc>
          <w:tcPr>
            <w:tcW w:w="1887" w:type="dxa"/>
            <w:vMerge w:val="continue"/>
            <w:vAlign w:val="center"/>
          </w:tcPr>
          <w:p>
            <w:pPr>
              <w:jc w:val="center"/>
              <w:rPr>
                <w:rFonts w:ascii="宋体" w:hAnsi="宋体"/>
                <w:color w:val="auto"/>
              </w:rPr>
            </w:pPr>
          </w:p>
        </w:tc>
      </w:tr>
    </w:tbl>
    <w:p>
      <w:pPr>
        <w:numPr>
          <w:ilvl w:val="0"/>
          <w:numId w:val="4"/>
        </w:numPr>
        <w:outlineLvl w:val="0"/>
        <w:rPr>
          <w:rFonts w:hint="eastAsia" w:ascii="宋体" w:hAnsi="宋体"/>
          <w:b/>
          <w:color w:val="auto"/>
          <w:sz w:val="30"/>
          <w:szCs w:val="30"/>
        </w:rPr>
      </w:pPr>
      <w:r>
        <w:rPr>
          <w:rFonts w:hint="eastAsia" w:ascii="宋体" w:hAnsi="宋体"/>
          <w:b/>
          <w:color w:val="auto"/>
          <w:sz w:val="30"/>
          <w:szCs w:val="30"/>
        </w:rPr>
        <w:t>招标参数要求</w:t>
      </w:r>
    </w:p>
    <w:p>
      <w:pPr>
        <w:pStyle w:val="14"/>
        <w:widowControl/>
        <w:spacing w:before="75" w:after="75" w:line="480" w:lineRule="exact"/>
        <w:outlineLvl w:val="1"/>
        <w:rPr>
          <w:color w:val="auto"/>
        </w:rPr>
      </w:pPr>
      <w:r>
        <w:rPr>
          <w:rFonts w:hint="eastAsia" w:ascii="宋体" w:hAnsi="宋体"/>
          <w:b/>
          <w:color w:val="auto"/>
          <w:sz w:val="28"/>
          <w:szCs w:val="28"/>
        </w:rPr>
        <w:t>（一）品目号1-1 华林路办公区机房及网络设备综合运维服务</w:t>
      </w:r>
    </w:p>
    <w:p>
      <w:pPr>
        <w:pStyle w:val="22"/>
        <w:tabs>
          <w:tab w:val="left" w:pos="0"/>
        </w:tabs>
        <w:spacing w:before="0" w:after="0"/>
        <w:ind w:left="0"/>
        <w:rPr>
          <w:rFonts w:ascii="宋体" w:hAnsi="宋体" w:eastAsia="宋体"/>
          <w:b/>
          <w:color w:val="auto"/>
          <w:sz w:val="36"/>
          <w:szCs w:val="36"/>
        </w:rPr>
      </w:pPr>
      <w:r>
        <w:rPr>
          <w:rFonts w:hint="eastAsia" w:ascii="宋体" w:hAnsi="宋体" w:eastAsia="宋体"/>
          <w:b/>
          <w:color w:val="auto"/>
          <w:sz w:val="36"/>
          <w:szCs w:val="36"/>
        </w:rPr>
        <w:t>项目概况</w:t>
      </w:r>
    </w:p>
    <w:p>
      <w:pPr>
        <w:pStyle w:val="14"/>
        <w:widowControl/>
        <w:spacing w:beforeAutospacing="0" w:afterAutospacing="0" w:line="360" w:lineRule="auto"/>
        <w:ind w:firstLine="480" w:firstLineChars="200"/>
        <w:jc w:val="both"/>
        <w:rPr>
          <w:color w:val="auto"/>
        </w:rPr>
      </w:pPr>
      <w:r>
        <w:rPr>
          <w:rFonts w:hint="eastAsia" w:ascii="宋体" w:hAnsi="宋体" w:eastAsia="宋体" w:cs="宋体"/>
          <w:color w:val="auto"/>
        </w:rPr>
        <w:t>我局采购的2022年度</w:t>
      </w:r>
      <w:r>
        <w:rPr>
          <w:rFonts w:hint="eastAsia" w:ascii="宋体" w:hAnsi="宋体"/>
          <w:color w:val="auto"/>
        </w:rPr>
        <w:t>华林路办公区机房及网络设备综合运维服务</w:t>
      </w:r>
      <w:r>
        <w:rPr>
          <w:rFonts w:hint="eastAsia" w:ascii="宋体" w:hAnsi="宋体" w:eastAsia="宋体" w:cs="宋体"/>
          <w:color w:val="auto"/>
        </w:rPr>
        <w:t>即将到期，为确保</w:t>
      </w:r>
      <w:r>
        <w:rPr>
          <w:rFonts w:hint="eastAsia" w:ascii="宋体" w:hAnsi="宋体" w:eastAsia="宋体" w:cs="宋体"/>
          <w:color w:val="auto"/>
          <w:lang w:val="en-US" w:eastAsia="zh-CN"/>
        </w:rPr>
        <w:t>运维服务</w:t>
      </w:r>
      <w:r>
        <w:rPr>
          <w:rFonts w:hint="eastAsia" w:ascii="宋体" w:hAnsi="宋体" w:eastAsia="宋体" w:cs="宋体"/>
          <w:color w:val="auto"/>
        </w:rPr>
        <w:t>的持续性，我</w:t>
      </w:r>
      <w:r>
        <w:rPr>
          <w:rFonts w:hint="eastAsia" w:ascii="宋体" w:hAnsi="宋体" w:eastAsia="宋体" w:cs="宋体"/>
          <w:color w:val="auto"/>
          <w:lang w:val="en-US" w:eastAsia="zh-CN"/>
        </w:rPr>
        <w:t>中心</w:t>
      </w:r>
      <w:r>
        <w:rPr>
          <w:rFonts w:hint="eastAsia"/>
          <w:color w:val="auto"/>
        </w:rPr>
        <w:t>采用公开招投标的方式采购</w:t>
      </w:r>
      <w:r>
        <w:rPr>
          <w:rFonts w:hint="eastAsia" w:ascii="宋体" w:hAnsi="宋体" w:eastAsia="宋体" w:cs="宋体"/>
          <w:color w:val="auto"/>
          <w:lang w:val="en-US" w:eastAsia="zh-CN"/>
        </w:rPr>
        <w:t>运维服务</w:t>
      </w:r>
      <w:r>
        <w:rPr>
          <w:rFonts w:hint="eastAsia"/>
          <w:color w:val="auto"/>
        </w:rPr>
        <w:t>，由社会上有能力的集成商进行</w:t>
      </w:r>
      <w:r>
        <w:rPr>
          <w:rFonts w:hint="eastAsia" w:ascii="宋体" w:hAnsi="宋体" w:eastAsia="宋体" w:cs="宋体"/>
          <w:color w:val="auto"/>
          <w:lang w:val="en-US" w:eastAsia="zh-CN"/>
        </w:rPr>
        <w:t>运维服务</w:t>
      </w:r>
      <w:r>
        <w:rPr>
          <w:rFonts w:hint="eastAsia"/>
          <w:color w:val="auto"/>
          <w:lang w:eastAsia="zh-CN"/>
        </w:rPr>
        <w:t>，</w:t>
      </w:r>
      <w:r>
        <w:rPr>
          <w:rFonts w:hint="eastAsia" w:ascii="宋体" w:hAnsi="宋体" w:eastAsia="宋体" w:cs="宋体"/>
          <w:color w:val="auto"/>
        </w:rPr>
        <w:t>确保我局华林路办公区机房及网络</w:t>
      </w:r>
      <w:r>
        <w:rPr>
          <w:rFonts w:hint="eastAsia" w:ascii="宋体" w:hAnsi="宋体" w:eastAsia="宋体" w:cs="宋体"/>
          <w:color w:val="auto"/>
          <w:lang w:val="en-US" w:eastAsia="zh-CN"/>
        </w:rPr>
        <w:t>等</w:t>
      </w:r>
      <w:r>
        <w:rPr>
          <w:rFonts w:hint="eastAsia" w:ascii="宋体" w:hAnsi="宋体" w:eastAsia="宋体" w:cs="宋体"/>
          <w:color w:val="auto"/>
        </w:rPr>
        <w:t>设备安全。</w:t>
      </w:r>
    </w:p>
    <w:p>
      <w:pPr>
        <w:pStyle w:val="22"/>
        <w:tabs>
          <w:tab w:val="left" w:pos="0"/>
        </w:tabs>
        <w:spacing w:before="0" w:after="0"/>
        <w:ind w:left="0"/>
        <w:rPr>
          <w:rFonts w:ascii="宋体" w:hAnsi="宋体" w:eastAsia="宋体"/>
          <w:b/>
          <w:color w:val="auto"/>
          <w:sz w:val="36"/>
          <w:szCs w:val="36"/>
        </w:rPr>
      </w:pPr>
      <w:r>
        <w:rPr>
          <w:rFonts w:hint="eastAsia" w:ascii="宋体" w:hAnsi="宋体" w:eastAsia="宋体"/>
          <w:b/>
          <w:color w:val="auto"/>
          <w:sz w:val="36"/>
          <w:szCs w:val="36"/>
        </w:rPr>
        <w:t>技术和服务要求</w:t>
      </w:r>
    </w:p>
    <w:p>
      <w:pPr>
        <w:pStyle w:val="23"/>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auto"/>
          <w:sz w:val="32"/>
          <w:szCs w:val="32"/>
        </w:rPr>
      </w:pPr>
      <w:r>
        <w:rPr>
          <w:rFonts w:hint="eastAsia" w:ascii="宋体" w:hAnsi="宋体" w:eastAsia="宋体"/>
          <w:b/>
          <w:bCs w:val="0"/>
          <w:color w:val="auto"/>
          <w:sz w:val="32"/>
          <w:szCs w:val="32"/>
        </w:rPr>
        <w:t>运维服务设备清单及服务期(服务期：12个月)</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953"/>
        <w:gridCol w:w="2870"/>
        <w:gridCol w:w="1206"/>
        <w:gridCol w:w="576"/>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1953" w:type="dxa"/>
          </w:tcPr>
          <w:p>
            <w:pPr>
              <w:widowControl/>
              <w:wordWrap w:val="0"/>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产品名 称</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设备型号</w:t>
            </w:r>
          </w:p>
        </w:tc>
        <w:tc>
          <w:tcPr>
            <w:tcW w:w="120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所在位置</w:t>
            </w: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数量</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华林路办公区核心交换机</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锐捷RG-S8614</w:t>
            </w:r>
          </w:p>
        </w:tc>
        <w:tc>
          <w:tcPr>
            <w:tcW w:w="120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4楼机房</w:t>
            </w: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原产金牌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9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华林路办公区机房服务器交换机</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锐捷RG-S5750-24GT/8SFP-E</w:t>
            </w:r>
          </w:p>
        </w:tc>
        <w:tc>
          <w:tcPr>
            <w:tcW w:w="120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4楼机房</w:t>
            </w: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原产标准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9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华林路办公区楼层交换机</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锐捷RG-S2352G</w:t>
            </w:r>
          </w:p>
        </w:tc>
        <w:tc>
          <w:tcPr>
            <w:tcW w:w="120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各楼层弱电间</w:t>
            </w: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68</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第三方金牌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UPS</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艾默生80KVA(Hipulse)</w:t>
            </w:r>
          </w:p>
        </w:tc>
        <w:tc>
          <w:tcPr>
            <w:tcW w:w="120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4楼机房</w:t>
            </w: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第三方金牌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9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国家总局托管长乐政务云服务器</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惠普DL180G9</w:t>
            </w:r>
          </w:p>
        </w:tc>
        <w:tc>
          <w:tcPr>
            <w:tcW w:w="120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长乐政务云机房</w:t>
            </w: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第三方金牌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防火墙</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天融信NGFW4000-UF</w:t>
            </w:r>
          </w:p>
        </w:tc>
        <w:tc>
          <w:tcPr>
            <w:tcW w:w="120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4楼机房</w:t>
            </w: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第三方金牌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953" w:type="dxa"/>
          </w:tcPr>
          <w:p>
            <w:pPr>
              <w:widowControl/>
              <w:spacing w:before="100" w:beforeAutospacing="1" w:after="100" w:afterAutospacing="1" w:line="480" w:lineRule="atLeas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机房空调</w:t>
            </w:r>
          </w:p>
        </w:tc>
        <w:tc>
          <w:tcPr>
            <w:tcW w:w="2870" w:type="dxa"/>
            <w:vAlign w:val="center"/>
          </w:tcPr>
          <w:p>
            <w:pPr>
              <w:pStyle w:val="4"/>
              <w:shd w:val="clear" w:color="auto" w:fill="FFFFFF"/>
              <w:spacing w:before="0" w:beforeAutospacing="0" w:after="96" w:afterAutospacing="0" w:line="288" w:lineRule="atLeast"/>
              <w:jc w:val="center"/>
              <w:rPr>
                <w:rFonts w:hint="eastAsia" w:ascii="宋体" w:hAnsi="宋体" w:eastAsia="宋体" w:cs="宋体"/>
                <w:color w:val="000000"/>
                <w:kern w:val="0"/>
                <w:sz w:val="24"/>
                <w:szCs w:val="24"/>
              </w:rPr>
            </w:pPr>
            <w:r>
              <w:rPr>
                <w:rFonts w:hint="eastAsia"/>
                <w:b w:val="0"/>
                <w:bCs w:val="0"/>
                <w:kern w:val="2"/>
                <w:sz w:val="24"/>
                <w:szCs w:val="24"/>
                <w:lang w:val="en-US" w:eastAsia="zh-CN"/>
              </w:rPr>
              <w:t>大金</w:t>
            </w:r>
            <w:r>
              <w:rPr>
                <w:rFonts w:hint="eastAsia"/>
                <w:b w:val="0"/>
                <w:bCs w:val="0"/>
                <w:kern w:val="2"/>
                <w:sz w:val="24"/>
                <w:szCs w:val="24"/>
              </w:rPr>
              <w:t>FVY400AMY1L</w:t>
            </w:r>
          </w:p>
        </w:tc>
        <w:tc>
          <w:tcPr>
            <w:tcW w:w="1206" w:type="dxa"/>
          </w:tcPr>
          <w:p>
            <w:pPr>
              <w:widowControl/>
              <w:spacing w:before="100" w:beforeAutospacing="1" w:after="100" w:afterAutospacing="1" w:line="48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4楼机房</w:t>
            </w:r>
          </w:p>
        </w:tc>
        <w:tc>
          <w:tcPr>
            <w:tcW w:w="576" w:type="dxa"/>
          </w:tcPr>
          <w:p>
            <w:pPr>
              <w:widowControl/>
              <w:spacing w:before="100" w:beforeAutospacing="1" w:after="100" w:afterAutospacing="1" w:line="48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364" w:type="dxa"/>
          </w:tcPr>
          <w:p>
            <w:pPr>
              <w:widowControl/>
              <w:spacing w:before="100" w:beforeAutospacing="1" w:after="100" w:afterAutospacing="1" w:line="480" w:lineRule="atLeast"/>
              <w:jc w:val="center"/>
              <w:rPr>
                <w:rFonts w:hint="eastAsia"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953" w:type="dxa"/>
          </w:tcPr>
          <w:p>
            <w:pPr>
              <w:widowControl/>
              <w:spacing w:before="100" w:beforeAutospacing="1" w:after="100" w:afterAutospacing="1" w:line="480" w:lineRule="atLeas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UPS间空调</w:t>
            </w:r>
          </w:p>
        </w:tc>
        <w:tc>
          <w:tcPr>
            <w:tcW w:w="2870" w:type="dxa"/>
            <w:vAlign w:val="center"/>
          </w:tcPr>
          <w:p>
            <w:pPr>
              <w:spacing w:line="420" w:lineRule="exact"/>
              <w:jc w:val="center"/>
              <w:rPr>
                <w:rFonts w:hint="eastAsia" w:ascii="宋体" w:hAnsi="宋体" w:eastAsia="宋体" w:cs="宋体"/>
                <w:color w:val="000000"/>
                <w:kern w:val="0"/>
                <w:sz w:val="24"/>
                <w:szCs w:val="24"/>
              </w:rPr>
            </w:pPr>
            <w:r>
              <w:rPr>
                <w:rFonts w:hint="eastAsia" w:ascii="宋体" w:hAnsi="宋体"/>
                <w:sz w:val="24"/>
                <w:lang w:val="en-US" w:eastAsia="zh-CN"/>
              </w:rPr>
              <w:t>大金</w:t>
            </w:r>
            <w:r>
              <w:rPr>
                <w:rFonts w:hint="eastAsia" w:ascii="宋体" w:hAnsi="宋体"/>
                <w:sz w:val="24"/>
              </w:rPr>
              <w:t>FVY250AMY1L</w:t>
            </w:r>
          </w:p>
        </w:tc>
        <w:tc>
          <w:tcPr>
            <w:tcW w:w="1206" w:type="dxa"/>
          </w:tcPr>
          <w:p>
            <w:pPr>
              <w:widowControl/>
              <w:spacing w:before="100" w:beforeAutospacing="1" w:after="100" w:afterAutospacing="1" w:line="48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4楼机房</w:t>
            </w:r>
          </w:p>
        </w:tc>
        <w:tc>
          <w:tcPr>
            <w:tcW w:w="576" w:type="dxa"/>
          </w:tcPr>
          <w:p>
            <w:pPr>
              <w:widowControl/>
              <w:spacing w:before="100" w:beforeAutospacing="1" w:after="100" w:afterAutospacing="1" w:line="48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64" w:type="dxa"/>
          </w:tcPr>
          <w:p>
            <w:pPr>
              <w:widowControl/>
              <w:spacing w:before="100" w:beforeAutospacing="1" w:after="100" w:afterAutospacing="1" w:line="480" w:lineRule="atLeast"/>
              <w:jc w:val="center"/>
              <w:rPr>
                <w:rFonts w:hint="eastAsia"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9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机房运维（基础运维及环境监测）</w:t>
            </w:r>
          </w:p>
        </w:tc>
        <w:tc>
          <w:tcPr>
            <w:tcW w:w="2870" w:type="dxa"/>
          </w:tcPr>
          <w:p>
            <w:pPr>
              <w:widowControl/>
              <w:jc w:val="left"/>
              <w:rPr>
                <w:rFonts w:ascii="宋体" w:hAnsi="宋体" w:eastAsia="宋体" w:cs="宋体"/>
                <w:color w:val="auto"/>
                <w:kern w:val="0"/>
                <w:sz w:val="24"/>
                <w:szCs w:val="24"/>
              </w:rPr>
            </w:pPr>
          </w:p>
        </w:tc>
        <w:tc>
          <w:tcPr>
            <w:tcW w:w="120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4楼机房</w:t>
            </w: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吸顶式音箱</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QSC AD-C42T</w:t>
            </w:r>
          </w:p>
        </w:tc>
        <w:tc>
          <w:tcPr>
            <w:tcW w:w="1206" w:type="dxa"/>
            <w:vMerge w:val="restart"/>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21楼会议室</w:t>
            </w:r>
          </w:p>
        </w:tc>
        <w:tc>
          <w:tcPr>
            <w:tcW w:w="576"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吸顶功放</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QSC RMX 850</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蓝光DVD播放器</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先锋</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数字音频矩阵</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RANE RPM 2</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手持无线话筒</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ATW2010</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16路电源时序器</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CRR-12PWR</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音频矩阵切换器 8×8</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MATRIX AV0808</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RGB矩阵切换器 8×8</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MATRIX RGB0808</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会议系统主机</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BOSCH</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桌面式纯讨论代表单元</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BOSCH</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150"电动幕</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SAMPLE</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1953" w:type="dxa"/>
          </w:tcPr>
          <w:p>
            <w:pPr>
              <w:widowControl/>
              <w:spacing w:before="100" w:beforeAutospacing="1" w:after="100" w:afterAutospacing="1" w:line="480"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DLP投影机</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松下PT-FD550</w:t>
            </w:r>
          </w:p>
        </w:tc>
        <w:tc>
          <w:tcPr>
            <w:tcW w:w="1206" w:type="dxa"/>
            <w:vMerge w:val="continue"/>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19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综合布线含客户端网络及电话线</w:t>
            </w:r>
          </w:p>
        </w:tc>
        <w:tc>
          <w:tcPr>
            <w:tcW w:w="2870" w:type="dxa"/>
          </w:tcPr>
          <w:p>
            <w:pPr>
              <w:widowControl/>
              <w:spacing w:before="100" w:beforeAutospacing="1" w:after="100" w:afterAutospacing="1" w:line="48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华林路大楼整个综合布线系统的维保，其他额外的布线每年度不超过60工天，包含全部线缆及配件</w:t>
            </w:r>
          </w:p>
        </w:tc>
        <w:tc>
          <w:tcPr>
            <w:tcW w:w="1206" w:type="dxa"/>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jc w:val="left"/>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3</w:t>
            </w:r>
          </w:p>
        </w:tc>
        <w:tc>
          <w:tcPr>
            <w:tcW w:w="19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机房的理线及清洁</w:t>
            </w:r>
          </w:p>
        </w:tc>
        <w:tc>
          <w:tcPr>
            <w:tcW w:w="2870" w:type="dxa"/>
          </w:tcPr>
          <w:p>
            <w:pPr>
              <w:widowControl/>
              <w:spacing w:before="100" w:beforeAutospacing="1" w:after="100" w:afterAutospacing="1" w:line="48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1、一年提供一次专业的设备除尘及所有线缆捆扎整理服务。</w:t>
            </w:r>
          </w:p>
          <w:p>
            <w:pPr>
              <w:widowControl/>
              <w:spacing w:before="100" w:beforeAutospacing="1" w:after="100" w:afterAutospacing="1" w:line="48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2、一年提供4次机房清洁。</w:t>
            </w:r>
          </w:p>
        </w:tc>
        <w:tc>
          <w:tcPr>
            <w:tcW w:w="1206" w:type="dxa"/>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jc w:val="left"/>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4</w:t>
            </w:r>
          </w:p>
        </w:tc>
        <w:tc>
          <w:tcPr>
            <w:tcW w:w="1953"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21楼会议室、3楼3间会议室的话筒线路、地插等</w:t>
            </w:r>
          </w:p>
        </w:tc>
        <w:tc>
          <w:tcPr>
            <w:tcW w:w="2870"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包含所有线缆及配件</w:t>
            </w:r>
          </w:p>
        </w:tc>
        <w:tc>
          <w:tcPr>
            <w:tcW w:w="1206" w:type="dxa"/>
          </w:tcPr>
          <w:p>
            <w:pPr>
              <w:widowControl/>
              <w:jc w:val="left"/>
              <w:rPr>
                <w:rFonts w:ascii="宋体" w:hAnsi="宋体" w:eastAsia="宋体" w:cs="宋体"/>
                <w:color w:val="auto"/>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64" w:type="dxa"/>
          </w:tcPr>
          <w:p>
            <w:pPr>
              <w:widowControl/>
              <w:jc w:val="left"/>
              <w:rPr>
                <w:rFonts w:ascii="宋体" w:hAnsi="宋体" w:eastAsia="宋体" w:cs="宋体"/>
                <w:color w:val="auto"/>
                <w:kern w:val="0"/>
                <w:sz w:val="24"/>
                <w:szCs w:val="24"/>
              </w:rPr>
            </w:pPr>
          </w:p>
        </w:tc>
      </w:tr>
    </w:tbl>
    <w:p>
      <w:pPr>
        <w:pStyle w:val="23"/>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auto"/>
          <w:sz w:val="32"/>
          <w:szCs w:val="32"/>
        </w:rPr>
      </w:pPr>
      <w:r>
        <w:rPr>
          <w:rFonts w:hint="eastAsia" w:ascii="宋体" w:hAnsi="宋体" w:eastAsia="宋体"/>
          <w:b/>
          <w:bCs w:val="0"/>
          <w:color w:val="auto"/>
          <w:sz w:val="32"/>
          <w:szCs w:val="32"/>
        </w:rPr>
        <w:t>运维服务内容</w:t>
      </w:r>
    </w:p>
    <w:p>
      <w:pPr>
        <w:widowControl/>
        <w:snapToGrid w:val="0"/>
        <w:spacing w:line="46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运维服务内容</w:t>
      </w:r>
      <w:r>
        <w:rPr>
          <w:rFonts w:hint="eastAsia" w:ascii="宋体" w:hAnsi="宋体" w:cs="宋体"/>
          <w:color w:val="auto"/>
          <w:kern w:val="0"/>
          <w:sz w:val="24"/>
          <w:szCs w:val="24"/>
          <w:lang w:val="en-US" w:eastAsia="zh-CN"/>
        </w:rPr>
        <w:t>包括运行维护和系统设备的维保服务，在服务期内，所有系统设备均属免费维修。</w:t>
      </w:r>
      <w:r>
        <w:rPr>
          <w:rFonts w:hint="eastAsia" w:ascii="宋体" w:hAnsi="宋体" w:eastAsia="宋体" w:cs="宋体"/>
          <w:color w:val="auto"/>
          <w:kern w:val="0"/>
          <w:sz w:val="24"/>
          <w:szCs w:val="24"/>
        </w:rPr>
        <w:t>根据福建省市场监管</w:t>
      </w:r>
      <w:r>
        <w:rPr>
          <w:rFonts w:hint="eastAsia" w:ascii="宋体" w:hAnsi="宋体" w:cs="宋体"/>
          <w:color w:val="auto"/>
          <w:kern w:val="0"/>
          <w:sz w:val="24"/>
          <w:szCs w:val="24"/>
          <w:lang w:val="en-US" w:eastAsia="zh-CN"/>
        </w:rPr>
        <w:t>局华林路机房</w:t>
      </w:r>
      <w:r>
        <w:rPr>
          <w:rFonts w:hint="eastAsia" w:ascii="宋体" w:hAnsi="宋体" w:eastAsia="宋体" w:cs="宋体"/>
          <w:color w:val="auto"/>
          <w:kern w:val="0"/>
          <w:sz w:val="24"/>
          <w:szCs w:val="24"/>
        </w:rPr>
        <w:t>运行情况，针对于网络及安全设备需提供5×8小时现场服务及7×24小时技术支持服务。服务内容包括：</w:t>
      </w:r>
    </w:p>
    <w:p>
      <w:pPr>
        <w:widowControl/>
        <w:snapToGrid w:val="0"/>
        <w:spacing w:line="46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服务承诺：要求提供原厂保修的，投标人须承诺提供原厂售后服务，并在合同签订后向采购人提供购买原厂售后服务的证明材料；要求提供第三方保修的，投标人须承诺提供的是第三方售后服务。在合同执行过程中如发现与承诺不一致的，采购人有权终止合同并要求中标人赔偿采购人的损失。</w:t>
      </w:r>
    </w:p>
    <w:p>
      <w:pPr>
        <w:widowControl/>
        <w:snapToGrid w:val="0"/>
        <w:spacing w:line="460" w:lineRule="exact"/>
        <w:ind w:firstLine="4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现场技术支持服务：根据设备运行需要做到电话以及远程技术支持服务15分钟响应、重大故障1小时现场支持响应，普通故障4小时现场支持响应。提供包括设备运行维护，口令修改，设备配置调整，设备硬件巡检</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每年至少4次）</w:t>
      </w:r>
      <w:r>
        <w:rPr>
          <w:rFonts w:hint="eastAsia" w:ascii="宋体" w:hAnsi="宋体" w:eastAsia="宋体" w:cs="宋体"/>
          <w:color w:val="auto"/>
          <w:kern w:val="0"/>
          <w:sz w:val="24"/>
          <w:szCs w:val="24"/>
        </w:rPr>
        <w:t xml:space="preserve">等服务支持。 </w:t>
      </w:r>
    </w:p>
    <w:p>
      <w:pPr>
        <w:widowControl/>
        <w:snapToGrid w:val="0"/>
        <w:spacing w:line="460" w:lineRule="exact"/>
        <w:ind w:firstLine="420"/>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应急支持：针对以下任务引起的响应服务要求，按采购人要求与其他技术支撑单位密切配合，做好处置预案，安排相关技术人员7*24小时现场支持响应直至任务结束。</w:t>
      </w:r>
    </w:p>
    <w:p>
      <w:pPr>
        <w:widowControl/>
        <w:snapToGrid w:val="0"/>
        <w:spacing w:line="460" w:lineRule="exact"/>
        <w:ind w:firstLine="42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a、福建省市场监管</w:t>
      </w:r>
      <w:r>
        <w:rPr>
          <w:rFonts w:hint="eastAsia" w:ascii="宋体" w:hAnsi="宋体" w:cs="宋体"/>
          <w:color w:val="auto"/>
          <w:kern w:val="0"/>
          <w:sz w:val="24"/>
          <w:szCs w:val="24"/>
          <w:lang w:val="en-US" w:eastAsia="zh-CN"/>
        </w:rPr>
        <w:t>局</w:t>
      </w:r>
      <w:r>
        <w:rPr>
          <w:rFonts w:hint="eastAsia" w:ascii="宋体" w:hAnsi="宋体" w:eastAsia="宋体" w:cs="宋体"/>
          <w:color w:val="auto"/>
          <w:kern w:val="0"/>
          <w:sz w:val="24"/>
          <w:szCs w:val="24"/>
        </w:rPr>
        <w:t>软硬件系统上线、升级、维护等；</w:t>
      </w:r>
    </w:p>
    <w:p>
      <w:pPr>
        <w:widowControl/>
        <w:snapToGrid w:val="0"/>
        <w:spacing w:line="46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b、重大活动安排技术支撑；</w:t>
      </w:r>
    </w:p>
    <w:p>
      <w:pPr>
        <w:widowControl/>
        <w:snapToGrid w:val="0"/>
        <w:spacing w:line="46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c、台风、洪涝、高温天气等应急支撑；   </w:t>
      </w:r>
    </w:p>
    <w:p>
      <w:pPr>
        <w:widowControl/>
        <w:snapToGrid w:val="0"/>
        <w:spacing w:line="460" w:lineRule="exact"/>
        <w:ind w:firstLine="42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d、系统故障应急处置</w:t>
      </w:r>
      <w:r>
        <w:rPr>
          <w:rFonts w:hint="eastAsia" w:ascii="宋体" w:hAnsi="宋体" w:cs="宋体"/>
          <w:color w:val="auto"/>
          <w:kern w:val="0"/>
          <w:sz w:val="24"/>
          <w:szCs w:val="24"/>
          <w:lang w:eastAsia="zh-CN"/>
        </w:rPr>
        <w:t>；</w:t>
      </w:r>
    </w:p>
    <w:p>
      <w:pPr>
        <w:widowControl/>
        <w:snapToGrid w:val="0"/>
        <w:spacing w:line="460" w:lineRule="exact"/>
        <w:ind w:firstLine="420"/>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e、临时应急需要人手时，可排出3名技术支撑人员现场支持。</w:t>
      </w:r>
    </w:p>
    <w:p>
      <w:pPr>
        <w:widowControl/>
        <w:snapToGrid w:val="0"/>
        <w:spacing w:line="460" w:lineRule="exact"/>
        <w:ind w:firstLine="420"/>
        <w:jc w:val="left"/>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所有维保费用属于一次性包干，不应有其他额外费用；项目范围内的人工、线缆、接头、面板及其他配件均由投标方提供。</w:t>
      </w:r>
    </w:p>
    <w:p>
      <w:pPr>
        <w:pStyle w:val="23"/>
        <w:keepNext/>
        <w:keepLines/>
        <w:tabs>
          <w:tab w:val="left" w:pos="-900"/>
          <w:tab w:val="left" w:pos="0"/>
          <w:tab w:val="left" w:pos="943"/>
          <w:tab w:val="left" w:pos="2645"/>
        </w:tabs>
        <w:adjustRightInd/>
        <w:snapToGrid/>
        <w:spacing w:before="0" w:beforeAutospacing="0" w:after="0" w:afterAutospacing="0"/>
        <w:rPr>
          <w:rFonts w:hint="default" w:ascii="宋体" w:hAnsi="宋体" w:eastAsia="宋体"/>
          <w:b/>
          <w:bCs w:val="0"/>
          <w:color w:val="auto"/>
          <w:sz w:val="32"/>
          <w:szCs w:val="32"/>
        </w:rPr>
      </w:pPr>
      <w:r>
        <w:rPr>
          <w:rFonts w:hint="eastAsia" w:ascii="宋体" w:hAnsi="宋体" w:eastAsia="宋体"/>
          <w:b/>
          <w:bCs w:val="0"/>
          <w:color w:val="auto"/>
          <w:sz w:val="32"/>
          <w:szCs w:val="32"/>
        </w:rPr>
        <w:t>实施要求</w:t>
      </w:r>
    </w:p>
    <w:p>
      <w:pPr>
        <w:widowControl/>
        <w:snapToGrid w:val="0"/>
        <w:spacing w:line="46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1、运维管理要求。由采购人履行对本项目运维服务外包工作质量的检查和监督职责。中标人应按照项目管理的方法，需指定一名项目经理负责对接</w:t>
      </w:r>
      <w:r>
        <w:rPr>
          <w:rFonts w:hint="eastAsia" w:ascii="宋体" w:hAnsi="宋体" w:cs="宋体"/>
          <w:color w:val="auto"/>
          <w:kern w:val="0"/>
          <w:sz w:val="24"/>
          <w:szCs w:val="24"/>
          <w:lang w:val="en-US" w:eastAsia="zh-CN"/>
        </w:rPr>
        <w:t>本项目</w:t>
      </w:r>
      <w:r>
        <w:rPr>
          <w:rFonts w:hint="eastAsia" w:ascii="宋体" w:hAnsi="宋体" w:eastAsia="宋体" w:cs="宋体"/>
          <w:color w:val="auto"/>
          <w:kern w:val="0"/>
          <w:sz w:val="24"/>
          <w:szCs w:val="24"/>
        </w:rPr>
        <w:t>相关运维工作，接受绩效管理和监督管理，依据</w:t>
      </w:r>
      <w:r>
        <w:rPr>
          <w:rFonts w:hint="eastAsia" w:ascii="宋体" w:hAnsi="宋体" w:cs="宋体"/>
          <w:color w:val="auto"/>
          <w:kern w:val="0"/>
          <w:sz w:val="24"/>
          <w:szCs w:val="24"/>
          <w:lang w:val="en-US" w:eastAsia="zh-CN"/>
        </w:rPr>
        <w:t>甲方</w:t>
      </w:r>
      <w:r>
        <w:rPr>
          <w:rFonts w:hint="eastAsia" w:ascii="宋体" w:hAnsi="宋体" w:eastAsia="宋体" w:cs="宋体"/>
          <w:color w:val="auto"/>
          <w:kern w:val="0"/>
          <w:sz w:val="24"/>
          <w:szCs w:val="24"/>
        </w:rPr>
        <w:t>有关规定做好承担的运维工作。中标人在合同签订后需提供项目经理及运维人员名单，采购人有权无理由要求中标人更换运维人员，中标人参与本项目的运维人员须经采购人认可。当中标人人员发生变动时，须提前15天通知采购人。中标人的新人员名单须由双方共同确认，在未确认前，原人员必须继续承当相应职责。</w:t>
      </w:r>
    </w:p>
    <w:p>
      <w:pPr>
        <w:widowControl/>
        <w:snapToGrid w:val="0"/>
        <w:spacing w:line="46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资产保管要求。中标人具有承担保管运维范围内全部资产的义务，编制固定资产保管清单，严格按照资产清单进行规范管理，对所维护的硬件、软件的变更及时进行更新登记，包括流程图、线路图、系统图、设备清单等文档记录；对资产的遗失、损坏应该承担赔偿责任。</w:t>
      </w:r>
    </w:p>
    <w:p>
      <w:pPr>
        <w:widowControl/>
        <w:snapToGrid w:val="0"/>
        <w:spacing w:line="46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3、文档管理要求。中标人需要根据市场监管信息系统的功能和特点，做好运维过程的所有文档的记录和归档工作，每个月汇总一次，按照相关要求装订成册，提交给</w:t>
      </w:r>
      <w:r>
        <w:rPr>
          <w:rFonts w:hint="eastAsia" w:ascii="宋体" w:hAnsi="宋体" w:cs="宋体"/>
          <w:color w:val="auto"/>
          <w:kern w:val="0"/>
          <w:sz w:val="24"/>
          <w:szCs w:val="24"/>
          <w:lang w:val="en-US" w:eastAsia="zh-CN"/>
        </w:rPr>
        <w:t>甲方</w:t>
      </w:r>
      <w:r>
        <w:rPr>
          <w:rFonts w:hint="eastAsia" w:ascii="宋体" w:hAnsi="宋体" w:eastAsia="宋体" w:cs="宋体"/>
          <w:color w:val="auto"/>
          <w:kern w:val="0"/>
          <w:sz w:val="24"/>
          <w:szCs w:val="24"/>
        </w:rPr>
        <w:t>。</w:t>
      </w:r>
    </w:p>
    <w:p>
      <w:pPr>
        <w:widowControl/>
        <w:snapToGrid w:val="0"/>
        <w:spacing w:line="46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4、安全管理要求。中标人必须服从</w:t>
      </w:r>
      <w:r>
        <w:rPr>
          <w:rFonts w:hint="eastAsia" w:ascii="宋体" w:hAnsi="宋体" w:cs="宋体"/>
          <w:color w:val="auto"/>
          <w:kern w:val="0"/>
          <w:sz w:val="24"/>
          <w:szCs w:val="24"/>
          <w:lang w:val="en-US" w:eastAsia="zh-CN"/>
        </w:rPr>
        <w:t>甲方</w:t>
      </w:r>
      <w:r>
        <w:rPr>
          <w:rFonts w:hint="eastAsia" w:ascii="宋体" w:hAnsi="宋体" w:eastAsia="宋体" w:cs="宋体"/>
          <w:color w:val="auto"/>
          <w:kern w:val="0"/>
          <w:sz w:val="24"/>
          <w:szCs w:val="24"/>
        </w:rPr>
        <w:t>对网络与信息安全的各项管理规定和要求，按照</w:t>
      </w:r>
      <w:r>
        <w:rPr>
          <w:rFonts w:hint="eastAsia" w:ascii="宋体" w:hAnsi="宋体" w:cs="宋体"/>
          <w:color w:val="auto"/>
          <w:kern w:val="0"/>
          <w:sz w:val="24"/>
          <w:szCs w:val="24"/>
          <w:lang w:val="en-US" w:eastAsia="zh-CN"/>
        </w:rPr>
        <w:t>甲方</w:t>
      </w:r>
      <w:r>
        <w:rPr>
          <w:rFonts w:hint="eastAsia" w:ascii="宋体" w:hAnsi="宋体" w:eastAsia="宋体" w:cs="宋体"/>
          <w:color w:val="auto"/>
          <w:kern w:val="0"/>
          <w:sz w:val="24"/>
          <w:szCs w:val="24"/>
        </w:rPr>
        <w:t>有关规定签署《信息安全协议》。对因工作疏失出现的网络与信息安全责任事故，必须承担相应责任，接受惩处。</w:t>
      </w:r>
    </w:p>
    <w:p>
      <w:pPr>
        <w:widowControl/>
        <w:snapToGrid w:val="0"/>
        <w:spacing w:line="46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5、人员管理要求。中标人根据</w:t>
      </w:r>
      <w:r>
        <w:rPr>
          <w:rFonts w:hint="eastAsia" w:ascii="宋体" w:hAnsi="宋体" w:cs="宋体"/>
          <w:color w:val="auto"/>
          <w:kern w:val="0"/>
          <w:sz w:val="24"/>
          <w:szCs w:val="24"/>
          <w:lang w:val="en-US" w:eastAsia="zh-CN"/>
        </w:rPr>
        <w:t>甲方</w:t>
      </w:r>
      <w:r>
        <w:rPr>
          <w:rFonts w:hint="eastAsia" w:ascii="宋体" w:hAnsi="宋体" w:eastAsia="宋体" w:cs="宋体"/>
          <w:color w:val="auto"/>
          <w:kern w:val="0"/>
          <w:sz w:val="24"/>
          <w:szCs w:val="24"/>
        </w:rPr>
        <w:t>的有关工作制度，如作息时间、着装、考勤制度、重大活动保障制度、应急事件管理规定等，制定有关规范对运维技术人员进行管理，中标人投标文件与</w:t>
      </w:r>
      <w:r>
        <w:rPr>
          <w:rFonts w:hint="eastAsia" w:ascii="宋体" w:hAnsi="宋体" w:cs="宋体"/>
          <w:color w:val="auto"/>
          <w:kern w:val="0"/>
          <w:sz w:val="24"/>
          <w:szCs w:val="24"/>
          <w:lang w:val="en-US" w:eastAsia="zh-CN"/>
        </w:rPr>
        <w:t>甲方</w:t>
      </w:r>
      <w:r>
        <w:rPr>
          <w:rFonts w:hint="eastAsia" w:ascii="宋体" w:hAnsi="宋体" w:eastAsia="宋体" w:cs="宋体"/>
          <w:color w:val="auto"/>
          <w:kern w:val="0"/>
          <w:sz w:val="24"/>
          <w:szCs w:val="24"/>
        </w:rPr>
        <w:t>有关工作制度不一致的，以</w:t>
      </w:r>
      <w:r>
        <w:rPr>
          <w:rFonts w:hint="eastAsia" w:ascii="宋体" w:hAnsi="宋体" w:cs="宋体"/>
          <w:color w:val="auto"/>
          <w:kern w:val="0"/>
          <w:sz w:val="24"/>
          <w:szCs w:val="24"/>
          <w:lang w:val="en-US" w:eastAsia="zh-CN"/>
        </w:rPr>
        <w:t>甲方</w:t>
      </w:r>
      <w:r>
        <w:rPr>
          <w:rFonts w:hint="eastAsia" w:ascii="宋体" w:hAnsi="宋体" w:eastAsia="宋体" w:cs="宋体"/>
          <w:color w:val="auto"/>
          <w:kern w:val="0"/>
          <w:sz w:val="24"/>
          <w:szCs w:val="24"/>
        </w:rPr>
        <w:t>工作制度为准。</w:t>
      </w:r>
    </w:p>
    <w:p>
      <w:pPr>
        <w:widowControl/>
        <w:snapToGrid w:val="0"/>
        <w:spacing w:line="46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6、绩效考核要求。中标人应该依据招标文件，以提供优质的信息服务产品为工作目标，建立工作规范、服务流程和管理制度等。</w:t>
      </w:r>
    </w:p>
    <w:p>
      <w:pPr>
        <w:pStyle w:val="14"/>
        <w:spacing w:before="0" w:beforeAutospacing="0" w:after="0" w:afterAutospacing="0" w:line="460" w:lineRule="exact"/>
        <w:ind w:firstLine="420"/>
        <w:rPr>
          <w:rFonts w:hint="eastAsia"/>
          <w:color w:val="auto"/>
          <w:lang w:val="en-US" w:eastAsia="zh-CN"/>
        </w:rPr>
      </w:pPr>
      <w:r>
        <w:rPr>
          <w:rFonts w:hint="eastAsia"/>
          <w:color w:val="auto"/>
        </w:rPr>
        <w:t>7、其他要求：为保证业务的稳定可靠运行，同时便于对设备和运维服务进行管理和监督。中标人需</w:t>
      </w:r>
      <w:r>
        <w:rPr>
          <w:rFonts w:hint="eastAsia"/>
          <w:color w:val="auto"/>
          <w:lang w:val="en-US" w:eastAsia="zh-CN"/>
        </w:rPr>
        <w:t>以软件或手工方式对维保设备状况、资料进行管理，能按客户要求提供相应的报表。</w:t>
      </w:r>
    </w:p>
    <w:p>
      <w:pPr>
        <w:pStyle w:val="14"/>
        <w:spacing w:line="460" w:lineRule="exact"/>
        <w:ind w:left="0" w:leftChars="0" w:firstLine="420" w:firstLineChars="0"/>
        <w:rPr>
          <w:rFonts w:hint="eastAsia" w:cs="Times New Roman" w:asciiTheme="minorHAnsi" w:hAnsiTheme="minorHAnsi" w:eastAsiaTheme="minorEastAsia"/>
          <w:color w:val="auto"/>
          <w:kern w:val="0"/>
          <w:sz w:val="24"/>
          <w:szCs w:val="24"/>
          <w:lang w:val="en-US" w:eastAsia="zh-CN"/>
        </w:rPr>
      </w:pPr>
      <w:r>
        <w:rPr>
          <w:rFonts w:hint="eastAsia" w:cs="Times New Roman" w:asciiTheme="minorHAnsi" w:hAnsiTheme="minorHAnsi" w:eastAsiaTheme="minorEastAsia"/>
          <w:color w:val="auto"/>
          <w:kern w:val="0"/>
          <w:sz w:val="24"/>
          <w:szCs w:val="24"/>
          <w:lang w:val="en-US" w:eastAsia="zh-CN"/>
        </w:rPr>
        <w:t>8、</w:t>
      </w:r>
      <w:r>
        <w:rPr>
          <w:rFonts w:hint="eastAsia" w:cs="Times New Roman"/>
          <w:color w:val="auto"/>
          <w:kern w:val="0"/>
          <w:sz w:val="24"/>
          <w:szCs w:val="24"/>
          <w:lang w:val="en-US" w:eastAsia="zh-CN"/>
        </w:rPr>
        <w:t>环境监控</w:t>
      </w:r>
      <w:r>
        <w:rPr>
          <w:rFonts w:hint="eastAsia" w:cs="Times New Roman" w:asciiTheme="minorHAnsi" w:hAnsiTheme="minorHAnsi" w:eastAsiaTheme="minorEastAsia"/>
          <w:color w:val="auto"/>
          <w:kern w:val="0"/>
          <w:sz w:val="24"/>
          <w:szCs w:val="24"/>
          <w:lang w:val="en-US" w:eastAsia="zh-CN"/>
        </w:rPr>
        <w:t>设备升级</w:t>
      </w:r>
    </w:p>
    <w:tbl>
      <w:tblPr>
        <w:tblStyle w:val="18"/>
        <w:tblW w:w="8274" w:type="dxa"/>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922"/>
        <w:gridCol w:w="1629"/>
        <w:gridCol w:w="3922"/>
        <w:gridCol w:w="951"/>
        <w:gridCol w:w="850"/>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rPr>
          <w:trHeight w:val="90"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firstLineChars="0"/>
              <w:jc w:val="center"/>
              <w:rPr>
                <w:rFonts w:hint="eastAsia" w:eastAsiaTheme="minorEastAsia"/>
                <w:color w:val="auto"/>
                <w:lang w:val="en-US" w:eastAsia="zh-CN"/>
              </w:rPr>
            </w:pPr>
            <w:r>
              <w:rPr>
                <w:rFonts w:ascii="宋体" w:hAnsi="宋体" w:eastAsia="宋体" w:cs="宋体"/>
                <w:b/>
                <w:color w:val="auto"/>
                <w:sz w:val="24"/>
              </w:rPr>
              <w:t>序号</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firstLineChars="0"/>
              <w:jc w:val="center"/>
              <w:rPr>
                <w:rFonts w:hint="eastAsia" w:eastAsiaTheme="minorEastAsia"/>
                <w:color w:val="auto"/>
                <w:lang w:val="en-US" w:eastAsia="zh-CN"/>
              </w:rPr>
            </w:pPr>
            <w:r>
              <w:rPr>
                <w:rFonts w:ascii="宋体" w:hAnsi="宋体" w:eastAsia="宋体" w:cs="宋体"/>
                <w:b/>
                <w:color w:val="auto"/>
                <w:sz w:val="24"/>
              </w:rPr>
              <w:t>项目名称</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firstLineChars="0"/>
              <w:jc w:val="center"/>
              <w:rPr>
                <w:rFonts w:hint="eastAsia" w:eastAsiaTheme="minorEastAsia"/>
                <w:color w:val="auto"/>
                <w:lang w:val="en-US" w:eastAsia="zh-CN"/>
              </w:rPr>
            </w:pPr>
            <w:r>
              <w:rPr>
                <w:rFonts w:ascii="宋体" w:hAnsi="宋体" w:eastAsia="宋体" w:cs="宋体"/>
                <w:b/>
                <w:color w:val="auto"/>
                <w:sz w:val="24"/>
              </w:rPr>
              <w:t>规格</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241" w:firstLineChars="100"/>
              <w:jc w:val="both"/>
              <w:rPr>
                <w:rFonts w:hint="eastAsia" w:eastAsiaTheme="minorEastAsia"/>
                <w:color w:val="auto"/>
                <w:lang w:val="en-US" w:eastAsia="zh-CN"/>
              </w:rPr>
            </w:pPr>
            <w:r>
              <w:rPr>
                <w:rFonts w:ascii="宋体" w:hAnsi="宋体" w:eastAsia="宋体" w:cs="宋体"/>
                <w:b/>
                <w:color w:val="auto"/>
                <w:sz w:val="24"/>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241" w:firstLineChars="100"/>
              <w:jc w:val="both"/>
              <w:rPr>
                <w:color w:val="auto"/>
              </w:rPr>
            </w:pPr>
            <w:r>
              <w:rPr>
                <w:rFonts w:ascii="宋体" w:hAnsi="宋体" w:eastAsia="宋体" w:cs="宋体"/>
                <w:b/>
                <w:color w:val="auto"/>
                <w:sz w:val="24"/>
              </w:rPr>
              <w:t>数量</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0"/>
              <w:jc w:val="both"/>
              <w:rPr>
                <w:color w:val="auto"/>
              </w:rPr>
            </w:pPr>
            <w:r>
              <w:rPr>
                <w:rFonts w:hint="eastAsia" w:ascii="宋体" w:hAnsi="宋体" w:eastAsia="宋体" w:cs="宋体"/>
                <w:b/>
                <w:color w:val="auto"/>
                <w:sz w:val="24"/>
                <w:lang w:val="en-US" w:eastAsia="zh-CN"/>
              </w:rPr>
              <w:t>环境监控设备</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 xml:space="preserve">1)≥1个10/100M自适应全双工太网口，网络接口具有ESD及浪涌保护功能； </w:t>
            </w:r>
          </w:p>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2)≥2个RS-485/232，≥6个RS-485串口 ，内嵌15KV ESD浪涌保护功能；</w:t>
            </w:r>
          </w:p>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3)≥8DI ≥4DO (2路有源DO+2路无源DO)，支持TCP Server/MODBUS TCP通讯协议，</w:t>
            </w:r>
          </w:p>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4)串口\DI\DO各端口均提供DC12V供电，串口输出电流≥500mA。DI\DO输出电流≥100mA；</w:t>
            </w:r>
          </w:p>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5) 2路独立DC12V电源输出，各电源输出独立，各自带有保护功能，满足底端设备供电；</w:t>
            </w:r>
          </w:p>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6) 端口使用RJ45接口，端口过流、过压、防反接、防错接保护</w:t>
            </w:r>
          </w:p>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7）处理器，采用主频≥200M，程序存储器≥32MB 的NAND FLASH，数据存储器≥32MB SDRAM</w:t>
            </w:r>
          </w:p>
          <w:p>
            <w:pPr>
              <w:pStyle w:val="33"/>
              <w:ind w:left="105" w:firstLine="380"/>
              <w:jc w:val="left"/>
              <w:rPr>
                <w:rFonts w:hint="eastAsia" w:ascii="宋体" w:hAnsi="宋体" w:eastAsia="宋体" w:cs="宋体"/>
                <w:b/>
                <w:color w:val="auto"/>
                <w:sz w:val="24"/>
                <w:szCs w:val="22"/>
                <w:lang w:val="en-US" w:eastAsia="zh-CN"/>
              </w:rPr>
            </w:pPr>
            <w:r>
              <w:rPr>
                <w:rFonts w:hint="eastAsia" w:ascii="宋体" w:hAnsi="宋体" w:eastAsia="宋体" w:cs="宋体"/>
                <w:b/>
                <w:color w:val="auto"/>
                <w:sz w:val="24"/>
              </w:rPr>
              <w:t xml:space="preserve">8）1U标准机架安装, 功耗&lt;19W, 响应时间&lt; 100ms, 支持来电自启动。                     </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szCs w:val="22"/>
                <w:lang w:val="en-US" w:eastAsia="zh-CN"/>
              </w:rPr>
              <w:t>.</w:t>
            </w:r>
          </w:p>
          <w:p>
            <w:pPr>
              <w:pStyle w:val="33"/>
              <w:ind w:left="105" w:firstLine="380"/>
              <w:jc w:val="left"/>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9)</w:t>
            </w:r>
            <w:r>
              <w:rPr>
                <w:rFonts w:hint="eastAsia" w:ascii="宋体" w:hAnsi="宋体" w:eastAsia="宋体" w:cs="宋体"/>
                <w:b/>
                <w:color w:val="auto"/>
                <w:sz w:val="24"/>
                <w:lang w:val="en-US" w:eastAsia="zh-Hans"/>
              </w:rPr>
              <w:t>平台软件必须为组态平台软件由设计程序和运行程序两部分组成,能支持设计和运行双模式，以确保今后机房硬件设备的扩展后不需要再次二次开发，需要提供软件界面截屏图</w:t>
            </w:r>
            <w:r>
              <w:rPr>
                <w:rFonts w:hint="eastAsia" w:ascii="宋体" w:hAnsi="宋体" w:eastAsia="宋体" w:cs="宋体"/>
                <w:b/>
                <w:color w:val="auto"/>
                <w:sz w:val="24"/>
                <w:lang w:val="en-US" w:eastAsia="zh-CN"/>
              </w:rPr>
              <w:t>。</w:t>
            </w:r>
          </w:p>
          <w:p>
            <w:pPr>
              <w:pStyle w:val="33"/>
              <w:ind w:left="105" w:firstLine="380"/>
              <w:jc w:val="left"/>
              <w:rPr>
                <w:rFonts w:hint="eastAsia" w:ascii="宋体" w:hAnsi="宋体" w:eastAsia="宋体" w:cs="宋体"/>
                <w:b/>
                <w:color w:val="auto"/>
                <w:sz w:val="24"/>
                <w:lang w:val="en-US" w:eastAsia="zh-Hans"/>
              </w:rPr>
            </w:pPr>
            <w:r>
              <w:rPr>
                <w:rFonts w:hint="eastAsia" w:ascii="宋体" w:hAnsi="宋体" w:eastAsia="宋体" w:cs="宋体"/>
                <w:b/>
                <w:color w:val="auto"/>
                <w:sz w:val="24"/>
                <w:lang w:val="en-US" w:eastAsia="zh-CN"/>
              </w:rPr>
              <w:t>10)</w:t>
            </w:r>
            <w:r>
              <w:rPr>
                <w:rFonts w:hint="eastAsia" w:ascii="宋体" w:hAnsi="宋体" w:eastAsia="宋体" w:cs="宋体"/>
                <w:b/>
                <w:color w:val="auto"/>
                <w:sz w:val="24"/>
                <w:lang w:val="en-US" w:eastAsia="zh-Hans"/>
              </w:rPr>
              <w:t>配电监测接口软件监测市电的电量仪状态；实时测量相电流、相电压、线电压、有功功率、功率因素、电能、频率等电量参数。</w:t>
            </w:r>
          </w:p>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lang w:val="en-US" w:eastAsia="zh-CN"/>
              </w:rPr>
              <w:t>11)</w:t>
            </w:r>
            <w:r>
              <w:rPr>
                <w:rFonts w:hint="eastAsia" w:ascii="宋体" w:hAnsi="宋体" w:eastAsia="宋体" w:cs="宋体"/>
                <w:b/>
                <w:color w:val="auto"/>
                <w:sz w:val="24"/>
              </w:rPr>
              <w:t>消防监测接口软件，通过监测烟雾传感器及消防主机信号提供实时报警信息。</w:t>
            </w:r>
          </w:p>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lang w:val="en-US" w:eastAsia="zh-CN"/>
              </w:rPr>
              <w:t>12)</w:t>
            </w:r>
            <w:r>
              <w:rPr>
                <w:rFonts w:hint="eastAsia" w:ascii="宋体" w:hAnsi="宋体" w:eastAsia="宋体" w:cs="宋体"/>
                <w:b/>
                <w:color w:val="auto"/>
                <w:sz w:val="24"/>
              </w:rPr>
              <w:t>漏水监测接口软件；实时监测精密空调、送水管道、窗沿等易漏水地区周围是否有泄漏。</w:t>
            </w:r>
          </w:p>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lang w:val="en-US" w:eastAsia="zh-CN"/>
              </w:rPr>
              <w:t>13)提供短信报警接口，与现有的短信机连接或提供适合的短信机</w:t>
            </w:r>
            <w:r>
              <w:rPr>
                <w:rFonts w:hint="eastAsia" w:ascii="宋体" w:hAnsi="宋体" w:eastAsia="宋体" w:cs="宋体"/>
                <w:b/>
                <w:color w:val="auto"/>
                <w:sz w:val="24"/>
              </w:rPr>
              <w:t>。</w:t>
            </w:r>
          </w:p>
          <w:p>
            <w:pPr>
              <w:pStyle w:val="33"/>
              <w:ind w:left="105" w:firstLine="380"/>
              <w:jc w:val="left"/>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14）含现场安装，温湿度、漏水、视频监控等连接，所有费用均含在内，不再单独收费。</w:t>
            </w:r>
          </w:p>
          <w:p>
            <w:pPr>
              <w:pStyle w:val="33"/>
              <w:ind w:left="105" w:firstLine="380"/>
              <w:jc w:val="left"/>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15）连接线和接口等相关配件均包含在内。</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color w:val="auto"/>
              </w:rPr>
            </w:pPr>
            <w:r>
              <w:rPr>
                <w:rFonts w:ascii="宋体" w:hAnsi="宋体" w:eastAsia="宋体" w:cs="宋体"/>
                <w:b/>
                <w:color w:val="auto"/>
                <w:sz w:val="24"/>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color w:val="auto"/>
              </w:rPr>
            </w:pPr>
            <w:r>
              <w:rPr>
                <w:rFonts w:ascii="宋体" w:hAnsi="宋体" w:eastAsia="宋体" w:cs="宋体"/>
                <w:b/>
                <w:color w:val="auto"/>
                <w:sz w:val="24"/>
              </w:rPr>
              <w:t>1</w:t>
            </w:r>
          </w:p>
        </w:tc>
      </w:tr>
    </w:tbl>
    <w:p>
      <w:pPr>
        <w:pStyle w:val="2"/>
        <w:rPr>
          <w:rFonts w:hint="eastAsia"/>
          <w:color w:val="auto"/>
        </w:rPr>
      </w:pPr>
    </w:p>
    <w:p>
      <w:pPr>
        <w:pStyle w:val="14"/>
        <w:spacing w:after="90" w:line="460" w:lineRule="exact"/>
        <w:ind w:firstLine="580" w:firstLineChars="242"/>
        <w:jc w:val="left"/>
        <w:rPr>
          <w:rFonts w:hint="eastAsia"/>
          <w:color w:val="auto"/>
        </w:rPr>
      </w:pPr>
      <w:r>
        <w:rPr>
          <w:rFonts w:hint="eastAsia" w:cs="Times New Roman" w:asciiTheme="minorHAnsi" w:hAnsiTheme="minorHAnsi" w:eastAsiaTheme="minorEastAsia"/>
          <w:b w:val="0"/>
          <w:color w:val="auto"/>
          <w:sz w:val="24"/>
          <w:lang w:val="en-US" w:eastAsia="zh-CN"/>
        </w:rPr>
        <w:t>9、</w:t>
      </w:r>
      <w:r>
        <w:rPr>
          <w:rFonts w:hint="eastAsia" w:cs="Times New Roman" w:asciiTheme="minorHAnsi" w:hAnsiTheme="minorHAnsi" w:eastAsiaTheme="minorEastAsia"/>
          <w:b w:val="0"/>
          <w:color w:val="auto"/>
          <w:sz w:val="24"/>
        </w:rPr>
        <w:t>备品备件表</w:t>
      </w:r>
    </w:p>
    <w:tbl>
      <w:tblPr>
        <w:tblStyle w:val="18"/>
        <w:tblW w:w="8274" w:type="dxa"/>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922"/>
        <w:gridCol w:w="1629"/>
        <w:gridCol w:w="3922"/>
        <w:gridCol w:w="951"/>
        <w:gridCol w:w="850"/>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33"/>
              <w:ind w:firstLine="0"/>
              <w:jc w:val="center"/>
              <w:rPr>
                <w:color w:val="auto"/>
              </w:rPr>
            </w:pPr>
            <w:r>
              <w:rPr>
                <w:rFonts w:ascii="宋体" w:hAnsi="宋体" w:eastAsia="宋体" w:cs="宋体"/>
                <w:b/>
                <w:color w:val="auto"/>
                <w:sz w:val="24"/>
              </w:rPr>
              <w:t>序号</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33"/>
              <w:ind w:firstLine="0"/>
              <w:jc w:val="center"/>
              <w:rPr>
                <w:color w:val="auto"/>
              </w:rPr>
            </w:pPr>
            <w:r>
              <w:rPr>
                <w:rFonts w:ascii="宋体" w:hAnsi="宋体" w:eastAsia="宋体" w:cs="宋体"/>
                <w:b/>
                <w:color w:val="auto"/>
                <w:sz w:val="24"/>
              </w:rPr>
              <w:t>项目名称</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33"/>
              <w:ind w:firstLine="380"/>
              <w:jc w:val="center"/>
              <w:rPr>
                <w:color w:val="auto"/>
              </w:rPr>
            </w:pPr>
            <w:r>
              <w:rPr>
                <w:rFonts w:ascii="宋体" w:hAnsi="宋体" w:eastAsia="宋体" w:cs="宋体"/>
                <w:b/>
                <w:color w:val="auto"/>
                <w:sz w:val="24"/>
              </w:rPr>
              <w:t>规格</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33"/>
              <w:ind w:firstLine="0"/>
              <w:jc w:val="center"/>
              <w:rPr>
                <w:color w:val="auto"/>
              </w:rPr>
            </w:pPr>
            <w:r>
              <w:rPr>
                <w:rFonts w:ascii="宋体" w:hAnsi="宋体" w:eastAsia="宋体" w:cs="宋体"/>
                <w:b/>
                <w:color w:val="auto"/>
                <w:sz w:val="24"/>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33"/>
              <w:ind w:firstLine="0"/>
              <w:jc w:val="center"/>
              <w:rPr>
                <w:color w:val="auto"/>
              </w:rPr>
            </w:pPr>
            <w:r>
              <w:rPr>
                <w:rFonts w:ascii="宋体" w:hAnsi="宋体" w:eastAsia="宋体" w:cs="宋体"/>
                <w:b/>
                <w:color w:val="auto"/>
                <w:sz w:val="24"/>
              </w:rPr>
              <w:t>数量</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color w:val="auto"/>
              </w:rPr>
            </w:pPr>
            <w:r>
              <w:rPr>
                <w:rFonts w:ascii="宋体" w:hAnsi="宋体" w:eastAsia="宋体" w:cs="宋体"/>
                <w:b/>
                <w:color w:val="auto"/>
                <w:sz w:val="24"/>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0"/>
              <w:jc w:val="both"/>
              <w:rPr>
                <w:color w:val="auto"/>
              </w:rPr>
            </w:pPr>
            <w:r>
              <w:rPr>
                <w:rFonts w:ascii="宋体" w:hAnsi="宋体" w:eastAsia="宋体" w:cs="宋体"/>
                <w:b/>
                <w:color w:val="auto"/>
                <w:sz w:val="24"/>
              </w:rPr>
              <w:t>六类非屏蔽信息点单孔插座(含面板)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color w:val="auto"/>
              </w:rPr>
            </w:pPr>
            <w:r>
              <w:rPr>
                <w:rFonts w:ascii="宋体" w:hAnsi="宋体" w:eastAsia="宋体" w:cs="宋体"/>
                <w:b/>
                <w:color w:val="auto"/>
                <w:sz w:val="24"/>
              </w:rPr>
              <w:t>按实际需求配置</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0"/>
              <w:jc w:val="center"/>
              <w:rPr>
                <w:color w:val="auto"/>
              </w:rPr>
            </w:pPr>
            <w:r>
              <w:rPr>
                <w:rFonts w:ascii="宋体" w:hAnsi="宋体" w:eastAsia="宋体" w:cs="宋体"/>
                <w:b/>
                <w:color w:val="auto"/>
                <w:sz w:val="24"/>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color w:val="auto"/>
              </w:rPr>
            </w:pPr>
            <w:r>
              <w:rPr>
                <w:rFonts w:ascii="宋体" w:hAnsi="宋体" w:eastAsia="宋体" w:cs="宋体"/>
                <w:b/>
                <w:color w:val="auto"/>
                <w:sz w:val="24"/>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0"/>
              <w:jc w:val="both"/>
              <w:rPr>
                <w:color w:val="auto"/>
              </w:rPr>
            </w:pPr>
            <w:r>
              <w:rPr>
                <w:rFonts w:ascii="宋体" w:hAnsi="宋体" w:eastAsia="宋体" w:cs="宋体"/>
                <w:b/>
                <w:color w:val="auto"/>
                <w:sz w:val="24"/>
              </w:rPr>
              <w:t>六类非屏蔽信息点双孔插座(含面板)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color w:val="auto"/>
              </w:rPr>
            </w:pPr>
            <w:r>
              <w:rPr>
                <w:rFonts w:ascii="宋体" w:hAnsi="宋体" w:eastAsia="宋体" w:cs="宋体"/>
                <w:b/>
                <w:color w:val="auto"/>
                <w:sz w:val="24"/>
              </w:rPr>
              <w:t>按实际需求配置</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0"/>
              <w:jc w:val="center"/>
              <w:rPr>
                <w:color w:val="auto"/>
              </w:rPr>
            </w:pPr>
            <w:r>
              <w:rPr>
                <w:rFonts w:ascii="宋体" w:hAnsi="宋体" w:eastAsia="宋体" w:cs="宋体"/>
                <w:b/>
                <w:color w:val="auto"/>
                <w:sz w:val="24"/>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color w:val="auto"/>
              </w:rPr>
            </w:pPr>
            <w:r>
              <w:rPr>
                <w:rFonts w:ascii="宋体" w:hAnsi="宋体" w:eastAsia="宋体" w:cs="宋体"/>
                <w:b/>
                <w:color w:val="auto"/>
                <w:sz w:val="24"/>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left="0" w:firstLine="0"/>
              <w:jc w:val="left"/>
              <w:rPr>
                <w:rFonts w:hint="eastAsia" w:ascii="宋体" w:hAnsi="宋体" w:eastAsia="宋体" w:cs="宋体"/>
                <w:b/>
                <w:color w:val="auto"/>
                <w:sz w:val="24"/>
              </w:rPr>
            </w:pPr>
            <w:r>
              <w:rPr>
                <w:rFonts w:hint="eastAsia" w:ascii="宋体" w:hAnsi="宋体" w:eastAsia="宋体" w:cs="宋体"/>
                <w:b/>
                <w:color w:val="auto"/>
                <w:sz w:val="24"/>
              </w:rPr>
              <w:t>配线架</w:t>
            </w:r>
            <w:bookmarkStart w:id="0" w:name="_GoBack"/>
            <w:bookmarkEnd w:id="0"/>
            <w:r>
              <w:rPr>
                <w:rFonts w:hint="eastAsia" w:ascii="宋体" w:hAnsi="宋体" w:eastAsia="宋体" w:cs="宋体"/>
                <w:b/>
                <w:color w:val="auto"/>
                <w:sz w:val="24"/>
              </w:rPr>
              <w:t>系统</w:t>
            </w:r>
          </w:p>
          <w:p>
            <w:pPr>
              <w:pStyle w:val="33"/>
              <w:ind w:firstLine="380"/>
              <w:jc w:val="center"/>
              <w:rPr>
                <w:color w:val="auto"/>
              </w:rPr>
            </w:pP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1.高度1U/24口，用于19英寸标准机柜</w:t>
            </w:r>
          </w:p>
          <w:p>
            <w:pPr>
              <w:pStyle w:val="33"/>
              <w:ind w:left="105" w:firstLine="380"/>
              <w:jc w:val="left"/>
              <w:rPr>
                <w:color w:val="auto"/>
              </w:rPr>
            </w:pPr>
            <w:r>
              <w:rPr>
                <w:rFonts w:hint="eastAsia" w:ascii="宋体" w:hAnsi="宋体" w:eastAsia="宋体" w:cs="宋体"/>
                <w:b/>
                <w:color w:val="auto"/>
                <w:sz w:val="24"/>
              </w:rPr>
              <w:t>2.根据应用需要，可以配合超五类非屏蔽/屏蔽模块，六类非屏蔽/屏蔽模块和超六类非屏蔽/屏蔽模块使用</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0"/>
              <w:jc w:val="center"/>
              <w:rPr>
                <w:rFonts w:hint="eastAsia" w:eastAsiaTheme="minorEastAsia"/>
                <w:color w:val="auto"/>
                <w:lang w:eastAsia="zh-CN"/>
              </w:rPr>
            </w:pPr>
            <w:r>
              <w:rPr>
                <w:rFonts w:hint="eastAsia" w:ascii="宋体" w:hAnsi="宋体" w:eastAsia="宋体" w:cs="宋体"/>
                <w:b/>
                <w:color w:val="auto"/>
                <w:sz w:val="24"/>
                <w:lang w:val="en-US" w:eastAsia="zh-CN"/>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0"/>
              <w:jc w:val="both"/>
              <w:rPr>
                <w:color w:val="auto"/>
              </w:rPr>
            </w:pPr>
            <w:r>
              <w:rPr>
                <w:rFonts w:hint="eastAsia" w:ascii="宋体" w:hAnsi="宋体" w:eastAsia="宋体" w:cs="宋体"/>
                <w:b/>
                <w:color w:val="auto"/>
                <w:sz w:val="24"/>
                <w:lang w:val="en-US" w:eastAsia="zh-CN"/>
              </w:rPr>
              <w:t>网络交换机</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1.交换容量≥330Gbps，转发性能≥50Mpps；</w:t>
            </w:r>
          </w:p>
          <w:p>
            <w:pPr>
              <w:pStyle w:val="33"/>
              <w:ind w:left="105" w:firstLine="380"/>
              <w:jc w:val="left"/>
              <w:rPr>
                <w:color w:val="auto"/>
              </w:rPr>
            </w:pPr>
            <w:r>
              <w:rPr>
                <w:rFonts w:hint="eastAsia" w:ascii="宋体" w:hAnsi="宋体" w:eastAsia="宋体" w:cs="宋体"/>
                <w:b/>
                <w:color w:val="auto"/>
                <w:sz w:val="24"/>
              </w:rPr>
              <w:t>2.固化10/100/1000M以太网端口≥24，固化1G SFP光接口≥4个；整机最大可用千兆口≥28；</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0"/>
              <w:jc w:val="center"/>
              <w:rPr>
                <w:color w:val="auto"/>
              </w:rPr>
            </w:pPr>
            <w:r>
              <w:rPr>
                <w:rFonts w:ascii="宋体" w:hAnsi="宋体" w:eastAsia="宋体" w:cs="宋体"/>
                <w:b/>
                <w:color w:val="auto"/>
                <w:sz w:val="24"/>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3"/>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1</w:t>
            </w:r>
          </w:p>
        </w:tc>
      </w:tr>
    </w:tbl>
    <w:p>
      <w:pPr>
        <w:pStyle w:val="23"/>
        <w:keepNext/>
        <w:keepLines/>
        <w:tabs>
          <w:tab w:val="left" w:pos="-900"/>
          <w:tab w:val="left" w:pos="0"/>
          <w:tab w:val="left" w:pos="943"/>
          <w:tab w:val="left" w:pos="2645"/>
        </w:tabs>
        <w:spacing w:beforeAutospacing="0" w:afterAutospacing="0"/>
        <w:rPr>
          <w:rFonts w:ascii="宋体" w:hAnsi="宋体" w:eastAsia="宋体" w:cs="宋体"/>
          <w:b/>
          <w:bCs w:val="0"/>
          <w:color w:val="auto"/>
          <w:sz w:val="32"/>
          <w:szCs w:val="32"/>
        </w:rPr>
      </w:pPr>
      <w:r>
        <w:rPr>
          <w:rFonts w:ascii="宋体" w:hAnsi="宋体" w:eastAsia="宋体" w:cs="宋体"/>
          <w:b/>
          <w:bCs w:val="0"/>
          <w:color w:val="auto"/>
          <w:sz w:val="32"/>
          <w:szCs w:val="32"/>
        </w:rPr>
        <w:t>计划方案</w:t>
      </w:r>
    </w:p>
    <w:p>
      <w:pPr>
        <w:pStyle w:val="14"/>
        <w:keepNext w:val="0"/>
        <w:keepLines w:val="0"/>
        <w:widowControl/>
        <w:suppressLineNumbers w:val="0"/>
        <w:spacing w:before="0" w:beforeAutospacing="1" w:after="0" w:afterAutospacing="1"/>
        <w:ind w:left="0" w:firstLine="390"/>
        <w:jc w:val="left"/>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rPr>
        <w:t>在合同签订后10日内，成交人须向采购人书面提交实施计划和运维方案。实施计划和运维方案必须针对运维服务的重点难点进行分析，密切贴合日常维护需求，其中至少包括运维项目内容、重点难点、详细指标、实施周期、服务团队人员等内容，并提供巡检记录、故障记录等相应配套的表单，否则视为无法履行本次合同，采购人有权单方面解除合同并要求成交人支付违约金及追究相应的法律责任。</w:t>
      </w:r>
    </w:p>
    <w:p>
      <w:pPr>
        <w:pStyle w:val="23"/>
        <w:keepNext/>
        <w:keepLines/>
        <w:tabs>
          <w:tab w:val="left" w:pos="-900"/>
          <w:tab w:val="left" w:pos="0"/>
          <w:tab w:val="left" w:pos="943"/>
          <w:tab w:val="left" w:pos="2645"/>
        </w:tabs>
        <w:spacing w:beforeAutospacing="0" w:afterAutospacing="0"/>
        <w:rPr>
          <w:rFonts w:ascii="宋体" w:hAnsi="宋体" w:eastAsia="宋体" w:cs="宋体"/>
          <w:b/>
          <w:bCs w:val="0"/>
          <w:color w:val="auto"/>
          <w:sz w:val="32"/>
          <w:szCs w:val="32"/>
        </w:rPr>
      </w:pPr>
      <w:r>
        <w:rPr>
          <w:rFonts w:hint="eastAsia" w:ascii="宋体" w:hAnsi="宋体" w:eastAsia="宋体" w:cs="宋体"/>
          <w:b/>
          <w:bCs w:val="0"/>
          <w:i w:val="0"/>
          <w:caps w:val="0"/>
          <w:color w:val="auto"/>
          <w:spacing w:val="0"/>
          <w:sz w:val="32"/>
          <w:szCs w:val="32"/>
          <w:lang w:val="en-US" w:eastAsia="zh-CN"/>
        </w:rPr>
        <w:t>每月</w:t>
      </w:r>
      <w:r>
        <w:rPr>
          <w:rFonts w:ascii="宋体" w:hAnsi="宋体" w:eastAsia="宋体" w:cs="宋体"/>
          <w:b/>
          <w:bCs w:val="0"/>
          <w:color w:val="auto"/>
          <w:sz w:val="32"/>
          <w:szCs w:val="32"/>
        </w:rPr>
        <w:t>服务考核及扣款说明</w:t>
      </w:r>
    </w:p>
    <w:tbl>
      <w:tblPr>
        <w:tblStyle w:val="18"/>
        <w:tblW w:w="9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5"/>
        <w:gridCol w:w="1110"/>
        <w:gridCol w:w="3135"/>
        <w:gridCol w:w="3660"/>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考核指标</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指标要求</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评分标准</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技术服务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（25分）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在招标文件及合同要求的时间内：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1.按照实施计划和运维方案完成全部服务项目。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2.完成约定周期的系统定期巡检维护，并及时报告、处置发现的问题。</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1.未按照实施计划和运维方案执行，每缺失1个服务项目，扣5分；每缺失1次巡检记录，扣2分。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2.巡检发现的问题未及时处置，每个问题扣5分。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3.巡检发现的问题未及时报告，每次扣5分。</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3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服务响应</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在招标文件及合同要求的时间内：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1.回复业主单位提出的技术咨询。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2.响应业主单位发起的故障报修，并提出有效的解决方案。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3.完成各类系统故障的处置。</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1.未回复业主单位提出的技术咨询或未在规定时间内回复的，每次扣2分。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2.未响应响应业主单位发起的故障报修，并提出有效的解决方案的，每次扣3分。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3.未完成系统故障处置，每个扣2分。</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设备、网络及系统安全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（25分）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1.项目实施过程中注重保障设备、网络及系统安全。</w:t>
            </w:r>
          </w:p>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2.配合业主单位做好网络安全等级保护工作，根据等级测评情况完成系统的整改。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3.配合业主单位对上级通报、日常安全巡检过程中发现的系统安全漏洞进行整改。</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1.未及时发现设备、网络及系统安全隐患，每次扣5分。</w:t>
            </w:r>
          </w:p>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2.未完成等级测评安全问题整改的，高危问题每项扣10分、中危问题每项扣5分。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3.未完成日常安全巡检安全问题整改的，高危问题每项扣10分、中危问题每项扣5分。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4.未完成上级通报安全问题整改的，本项不得分。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服务人员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1.保持服务团队人员稳定，原则上不允许更换。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2.确因客观原因需要调整人员的，应配备同资质人员，并取得业主单位书面同意。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3.服务人员在接听响应电话、提供技术服务过程中时，应耐心、细致，保持良好态度。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4.服务人员应按照要求做好保密工作。</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1.更换服务团队负责人的一次扣10分，更换服务团队其他人员的一次扣5分；未取得业主单位书面同意或未配备同资质人员的本项不得分。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2.因服务态度不佳出现被业主单位用户投诉的，每次扣2分；因此出现效能投诉的，本项不得分。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文档资料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1.在巡检、问题处置等服务完成后，及时向业主单位提交相应文档资料。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2.提供的文档资料齐全，格式规范、字迹清晰，无明显错误。</w:t>
            </w:r>
          </w:p>
        </w:tc>
        <w:tc>
          <w:tcPr>
            <w:tcW w:w="3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1.在巡检、问题处置等服务完成后，未及时向业主单位提交相应文档资料，每次扣2分。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2.提供的文档资料不齐全的，每缺1份扣2分；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3.提供的文档资料格式不规范、字迹不清晰或存在明显错误的，每份扣2分。</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一票否决项</w:t>
            </w:r>
          </w:p>
        </w:tc>
        <w:tc>
          <w:tcPr>
            <w:tcW w:w="6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1.因运维单位服务人员原因造成的设备、网络及系统安全事故，则当月总体考核不得分。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2.因运维单位服务人员原因造成的保密事故，则当月总体考核不得分。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8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合  计</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auto"/>
                <w:sz w:val="24"/>
                <w:szCs w:val="24"/>
                <w:u w:val="none"/>
              </w:rPr>
            </w:pPr>
          </w:p>
        </w:tc>
      </w:tr>
    </w:tbl>
    <w:p>
      <w:pPr>
        <w:pStyle w:val="14"/>
        <w:widowControl/>
        <w:spacing w:beforeAutospacing="1" w:afterAutospacing="1" w:line="240" w:lineRule="auto"/>
        <w:ind w:firstLine="390" w:firstLineChars="0"/>
        <w:jc w:val="left"/>
        <w:rPr>
          <w:rFonts w:hint="eastAsia" w:ascii="宋体" w:hAnsi="宋体" w:eastAsia="宋体" w:cs="宋体"/>
          <w:color w:val="auto"/>
        </w:rPr>
      </w:pPr>
      <w:r>
        <w:rPr>
          <w:rFonts w:hint="eastAsia" w:asciiTheme="minorEastAsia" w:hAnsiTheme="minorEastAsia" w:eastAsiaTheme="minorEastAsia" w:cstheme="minorEastAsia"/>
          <w:i w:val="0"/>
          <w:caps w:val="0"/>
          <w:color w:val="auto"/>
          <w:spacing w:val="0"/>
          <w:sz w:val="24"/>
          <w:szCs w:val="24"/>
        </w:rPr>
        <w:t>在合同</w:t>
      </w:r>
      <w:r>
        <w:rPr>
          <w:rFonts w:hint="eastAsia" w:asciiTheme="minorEastAsia" w:hAnsiTheme="minorEastAsia" w:cstheme="minorEastAsia"/>
          <w:i w:val="0"/>
          <w:caps w:val="0"/>
          <w:color w:val="auto"/>
          <w:spacing w:val="0"/>
          <w:sz w:val="24"/>
          <w:szCs w:val="24"/>
          <w:lang w:val="en-US" w:eastAsia="zh-CN"/>
        </w:rPr>
        <w:t>期内，每月对本月的服务质量按上表进行考核，当月考核得分低于80分（不含80分），</w:t>
      </w:r>
      <w:r>
        <w:rPr>
          <w:rFonts w:hint="eastAsia" w:asciiTheme="minorEastAsia" w:hAnsiTheme="minorEastAsia" w:eastAsiaTheme="minorEastAsia" w:cstheme="minorEastAsia"/>
          <w:i w:val="0"/>
          <w:caps w:val="0"/>
          <w:color w:val="auto"/>
          <w:spacing w:val="0"/>
          <w:sz w:val="24"/>
          <w:szCs w:val="24"/>
        </w:rPr>
        <w:t>用户有权每次扣总额的</w:t>
      </w:r>
      <w:r>
        <w:rPr>
          <w:rFonts w:hint="eastAsia" w:asciiTheme="minorEastAsia" w:hAnsiTheme="minorEastAsia" w:cstheme="minorEastAsia"/>
          <w:i w:val="0"/>
          <w:caps w:val="0"/>
          <w:color w:val="auto"/>
          <w:spacing w:val="0"/>
          <w:sz w:val="24"/>
          <w:szCs w:val="24"/>
          <w:lang w:val="en-US" w:eastAsia="zh-CN"/>
        </w:rPr>
        <w:t>8</w:t>
      </w:r>
      <w:r>
        <w:rPr>
          <w:rFonts w:hint="eastAsia" w:asciiTheme="minorEastAsia" w:hAnsiTheme="minorEastAsia" w:eastAsiaTheme="minorEastAsia" w:cstheme="minorEastAsia"/>
          <w:i w:val="0"/>
          <w:caps w:val="0"/>
          <w:color w:val="auto"/>
          <w:spacing w:val="0"/>
          <w:sz w:val="24"/>
          <w:szCs w:val="24"/>
        </w:rPr>
        <w:t>%，直到扣完为止。</w:t>
      </w:r>
    </w:p>
    <w:p>
      <w:pPr>
        <w:pStyle w:val="22"/>
        <w:tabs>
          <w:tab w:val="left" w:pos="0"/>
        </w:tabs>
        <w:spacing w:before="0" w:after="0"/>
        <w:ind w:left="0"/>
        <w:rPr>
          <w:rFonts w:hint="eastAsia" w:ascii="宋体" w:hAnsi="宋体" w:eastAsia="宋体" w:cs="宋体"/>
          <w:b/>
          <w:color w:val="auto"/>
          <w:sz w:val="36"/>
          <w:szCs w:val="36"/>
        </w:rPr>
      </w:pPr>
      <w:r>
        <w:rPr>
          <w:rFonts w:hint="eastAsia" w:ascii="宋体" w:hAnsi="宋体" w:eastAsia="宋体" w:cs="宋体"/>
          <w:b/>
          <w:color w:val="auto"/>
          <w:sz w:val="36"/>
          <w:szCs w:val="36"/>
        </w:rPr>
        <w:t>商务条件</w:t>
      </w:r>
    </w:p>
    <w:p>
      <w:pPr>
        <w:widowControl w:val="0"/>
        <w:adjustRightInd w:val="0"/>
        <w:snapToGrid w:val="0"/>
        <w:spacing w:before="0" w:after="0" w:line="360" w:lineRule="auto"/>
        <w:ind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rPr>
        <w:t>1、交付地点：福建省福州市鼓楼区华林路147号</w:t>
      </w:r>
    </w:p>
    <w:p>
      <w:pPr>
        <w:widowControl w:val="0"/>
        <w:adjustRightInd w:val="0"/>
        <w:snapToGrid w:val="0"/>
        <w:spacing w:before="0" w:after="0" w:line="360" w:lineRule="auto"/>
        <w:ind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rPr>
        <w:t>2、交付时间：合同签订后</w:t>
      </w:r>
      <w:r>
        <w:rPr>
          <w:rFonts w:hint="eastAsia" w:ascii="宋体" w:hAnsi="宋体" w:eastAsia="宋体" w:cs="宋体"/>
          <w:b/>
          <w:bCs/>
          <w:color w:val="auto"/>
          <w:kern w:val="2"/>
          <w:sz w:val="24"/>
          <w:szCs w:val="24"/>
          <w:lang w:val="en-US" w:eastAsia="zh-CN"/>
        </w:rPr>
        <w:t>按甲方指定的时间</w:t>
      </w:r>
      <w:r>
        <w:rPr>
          <w:rFonts w:hint="eastAsia" w:ascii="宋体" w:hAnsi="宋体" w:eastAsia="宋体" w:cs="宋体"/>
          <w:b/>
          <w:bCs/>
          <w:color w:val="auto"/>
          <w:kern w:val="2"/>
          <w:sz w:val="24"/>
          <w:szCs w:val="24"/>
        </w:rPr>
        <w:t>开始履约，服务期12个月</w:t>
      </w:r>
    </w:p>
    <w:p>
      <w:pPr>
        <w:widowControl w:val="0"/>
        <w:adjustRightInd w:val="0"/>
        <w:snapToGrid w:val="0"/>
        <w:spacing w:before="0" w:after="0" w:line="360" w:lineRule="auto"/>
        <w:ind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rPr>
        <w:t>3、交付条件：验收合格</w:t>
      </w:r>
    </w:p>
    <w:p>
      <w:pPr>
        <w:widowControl w:val="0"/>
        <w:adjustRightInd w:val="0"/>
        <w:snapToGrid w:val="0"/>
        <w:spacing w:before="0" w:after="0" w:line="360" w:lineRule="auto"/>
        <w:ind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rPr>
        <w:t>4、是否收取履约保证金：否</w:t>
      </w:r>
    </w:p>
    <w:p>
      <w:pPr>
        <w:widowControl w:val="0"/>
        <w:adjustRightInd w:val="0"/>
        <w:snapToGrid w:val="0"/>
        <w:spacing w:before="0" w:after="0" w:line="360" w:lineRule="auto"/>
        <w:ind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rPr>
        <w:t>5、是否邀请投标人参与验收：否</w:t>
      </w:r>
    </w:p>
    <w:p>
      <w:pPr>
        <w:widowControl w:val="0"/>
        <w:adjustRightInd w:val="0"/>
        <w:snapToGrid w:val="0"/>
        <w:spacing w:before="0" w:after="0" w:line="360" w:lineRule="auto"/>
        <w:ind w:firstLine="482" w:firstLineChars="20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6、验收方式数据表格</w:t>
      </w:r>
    </w:p>
    <w:tbl>
      <w:tblPr>
        <w:tblStyle w:val="18"/>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rPr>
            </w:pPr>
            <w:r>
              <w:rPr>
                <w:rFonts w:ascii="宋体" w:hAnsi="宋体" w:eastAsia="宋体" w:cs="宋体"/>
                <w:color w:val="auto"/>
                <w:kern w:val="0"/>
                <w:sz w:val="24"/>
                <w:szCs w:val="24"/>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rPr>
            </w:pPr>
            <w:r>
              <w:rPr>
                <w:rFonts w:ascii="宋体" w:hAnsi="宋体" w:eastAsia="宋体" w:cs="宋体"/>
                <w:color w:val="auto"/>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rPr>
            </w:pPr>
            <w:r>
              <w:rPr>
                <w:rFonts w:ascii="宋体" w:hAnsi="宋体" w:eastAsia="宋体" w:cs="宋体"/>
                <w:color w:val="auto"/>
                <w:kern w:val="0"/>
                <w:sz w:val="24"/>
                <w:szCs w:val="24"/>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rPr>
            </w:pPr>
            <w:r>
              <w:rPr>
                <w:rFonts w:ascii="宋体" w:hAnsi="宋体" w:eastAsia="宋体" w:cs="宋体"/>
                <w:color w:val="auto"/>
                <w:kern w:val="0"/>
                <w:sz w:val="24"/>
                <w:szCs w:val="24"/>
              </w:rPr>
              <w:t>服务期满且满足采购人的所有服务要求后，由中标人提交完整材料并向采购方提出最终验收申请，双方共同签署验收文档后，视为最终验收合格</w:t>
            </w:r>
          </w:p>
        </w:tc>
      </w:tr>
    </w:tbl>
    <w:p>
      <w:pPr>
        <w:bidi w:val="0"/>
        <w:adjustRightInd w:val="0"/>
        <w:snapToGrid w:val="0"/>
        <w:spacing w:line="360" w:lineRule="auto"/>
        <w:ind w:firstLine="482" w:firstLineChars="200"/>
        <w:rPr>
          <w:b/>
          <w:bCs/>
          <w:color w:val="auto"/>
        </w:rPr>
      </w:pP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rPr>
        <w:t>支付方式数据表格</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8"/>
        <w:gridCol w:w="50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b/>
                <w:bCs/>
                <w:color w:val="auto"/>
                <w:sz w:val="24"/>
              </w:rPr>
            </w:pPr>
            <w:r>
              <w:rPr>
                <w:rFonts w:ascii="宋体" w:hAnsi="宋体" w:eastAsia="宋体" w:cs="宋体"/>
                <w:b/>
                <w:bCs/>
                <w:color w:val="auto"/>
                <w:kern w:val="0"/>
                <w:sz w:val="24"/>
                <w:lang w:bidi="ar"/>
              </w:rPr>
              <w:t>支付期次</w:t>
            </w:r>
          </w:p>
        </w:tc>
        <w:tc>
          <w:tcPr>
            <w:tcW w:w="16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b/>
                <w:bCs/>
                <w:color w:val="auto"/>
                <w:sz w:val="24"/>
              </w:rPr>
            </w:pPr>
            <w:r>
              <w:rPr>
                <w:rFonts w:ascii="宋体" w:hAnsi="宋体" w:eastAsia="宋体" w:cs="宋体"/>
                <w:b/>
                <w:bCs/>
                <w:color w:val="auto"/>
                <w:kern w:val="0"/>
                <w:sz w:val="24"/>
                <w:lang w:bidi="ar"/>
              </w:rPr>
              <w:t>支付比例(%)</w:t>
            </w:r>
          </w:p>
        </w:tc>
        <w:tc>
          <w:tcPr>
            <w:tcW w:w="50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b/>
                <w:bCs/>
                <w:color w:val="auto"/>
                <w:sz w:val="24"/>
              </w:rPr>
            </w:pPr>
            <w:r>
              <w:rPr>
                <w:rFonts w:ascii="宋体" w:hAnsi="宋体" w:eastAsia="宋体" w:cs="宋体"/>
                <w:b/>
                <w:bCs/>
                <w:color w:val="auto"/>
                <w:kern w:val="0"/>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sz w:val="24"/>
              </w:rPr>
            </w:pPr>
            <w:r>
              <w:rPr>
                <w:rFonts w:ascii="宋体" w:hAnsi="宋体" w:eastAsia="宋体" w:cs="宋体"/>
                <w:color w:val="auto"/>
                <w:kern w:val="0"/>
                <w:sz w:val="24"/>
                <w:szCs w:val="24"/>
                <w:lang w:val="en-US" w:eastAsia="zh-CN" w:bidi="ar"/>
              </w:rPr>
              <w:t>1</w:t>
            </w:r>
          </w:p>
        </w:tc>
        <w:tc>
          <w:tcPr>
            <w:tcW w:w="16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sz w:val="24"/>
              </w:rPr>
            </w:pPr>
            <w:r>
              <w:rPr>
                <w:rFonts w:ascii="宋体" w:hAnsi="宋体" w:eastAsia="宋体" w:cs="宋体"/>
                <w:color w:val="auto"/>
                <w:kern w:val="0"/>
                <w:sz w:val="24"/>
                <w:szCs w:val="24"/>
                <w:lang w:val="en-US" w:eastAsia="zh-CN" w:bidi="ar"/>
              </w:rPr>
              <w:t>50</w:t>
            </w:r>
          </w:p>
        </w:tc>
        <w:tc>
          <w:tcPr>
            <w:tcW w:w="50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sz w:val="24"/>
              </w:rPr>
            </w:pPr>
            <w:r>
              <w:rPr>
                <w:rFonts w:ascii="宋体" w:hAnsi="宋体" w:eastAsia="宋体" w:cs="宋体"/>
                <w:color w:val="auto"/>
                <w:kern w:val="0"/>
                <w:sz w:val="24"/>
                <w:szCs w:val="24"/>
                <w:lang w:val="en-US" w:eastAsia="zh-CN" w:bidi="ar"/>
              </w:rPr>
              <w:t>合同签订之后，且中标方提供等额发票，支付合同金额的50%；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sz w:val="24"/>
              </w:rPr>
            </w:pPr>
            <w:r>
              <w:rPr>
                <w:rFonts w:ascii="宋体" w:hAnsi="宋体" w:eastAsia="宋体" w:cs="宋体"/>
                <w:color w:val="auto"/>
                <w:kern w:val="0"/>
                <w:sz w:val="24"/>
                <w:szCs w:val="24"/>
                <w:lang w:val="en-US" w:eastAsia="zh-CN" w:bidi="ar"/>
              </w:rPr>
              <w:t>2</w:t>
            </w:r>
          </w:p>
        </w:tc>
        <w:tc>
          <w:tcPr>
            <w:tcW w:w="16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sz w:val="24"/>
              </w:rPr>
            </w:pPr>
            <w:r>
              <w:rPr>
                <w:rFonts w:ascii="宋体" w:hAnsi="宋体" w:eastAsia="宋体" w:cs="宋体"/>
                <w:color w:val="auto"/>
                <w:kern w:val="0"/>
                <w:sz w:val="24"/>
                <w:szCs w:val="24"/>
                <w:lang w:val="en-US" w:eastAsia="zh-CN" w:bidi="ar"/>
              </w:rPr>
              <w:t>50</w:t>
            </w:r>
          </w:p>
        </w:tc>
        <w:tc>
          <w:tcPr>
            <w:tcW w:w="50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lang w:val="en-US" w:eastAsia="zh-CN" w:bidi="ar"/>
              </w:rPr>
              <w:t>项目完成并通过验收且中标方提供等额发票后，</w:t>
            </w:r>
            <w:r>
              <w:rPr>
                <w:rFonts w:hint="default" w:ascii="宋体" w:hAnsi="宋体" w:eastAsia="宋体" w:cs="宋体"/>
                <w:color w:val="auto"/>
                <w:kern w:val="0"/>
                <w:sz w:val="24"/>
                <w:lang w:val="en-US" w:eastAsia="zh-CN" w:bidi="ar"/>
              </w:rPr>
              <w:t>最终支付款项为</w:t>
            </w:r>
            <w:r>
              <w:rPr>
                <w:rFonts w:ascii="宋体" w:hAnsi="宋体" w:eastAsia="宋体" w:cs="宋体"/>
                <w:color w:val="auto"/>
                <w:kern w:val="0"/>
                <w:sz w:val="24"/>
                <w:lang w:val="en-US" w:eastAsia="zh-CN" w:bidi="ar"/>
              </w:rPr>
              <w:t>合同金额的50%</w:t>
            </w:r>
            <w:r>
              <w:rPr>
                <w:rFonts w:hint="default" w:ascii="宋体" w:hAnsi="宋体" w:eastAsia="宋体" w:cs="宋体"/>
                <w:color w:val="auto"/>
                <w:kern w:val="0"/>
                <w:sz w:val="24"/>
                <w:lang w:val="en-US" w:eastAsia="zh-CN" w:bidi="ar"/>
              </w:rPr>
              <w:t>，</w:t>
            </w:r>
            <w:r>
              <w:rPr>
                <w:rFonts w:hint="default" w:ascii="宋体" w:hAnsi="宋体" w:eastAsia="宋体" w:cs="宋体"/>
                <w:color w:val="auto"/>
                <w:kern w:val="0"/>
                <w:sz w:val="24"/>
                <w:szCs w:val="24"/>
                <w:lang w:val="en-US" w:eastAsia="zh-CN" w:bidi="ar"/>
              </w:rPr>
              <w:t>减去每月</w:t>
            </w:r>
            <w:r>
              <w:rPr>
                <w:rFonts w:hint="default" w:ascii="宋体" w:hAnsi="宋体" w:eastAsia="宋体" w:cs="宋体"/>
                <w:i w:val="0"/>
                <w:caps w:val="0"/>
                <w:color w:val="auto"/>
                <w:spacing w:val="0"/>
                <w:kern w:val="0"/>
                <w:sz w:val="24"/>
                <w:szCs w:val="24"/>
                <w:lang w:bidi="ar"/>
              </w:rPr>
              <w:t>服务考核</w:t>
            </w:r>
            <w:r>
              <w:rPr>
                <w:rFonts w:hint="default" w:ascii="宋体" w:hAnsi="宋体" w:eastAsia="宋体" w:cs="宋体"/>
                <w:i w:val="0"/>
                <w:caps w:val="0"/>
                <w:color w:val="auto"/>
                <w:spacing w:val="0"/>
                <w:kern w:val="0"/>
                <w:sz w:val="24"/>
                <w:szCs w:val="24"/>
                <w:lang w:val="en-US" w:eastAsia="zh-CN" w:bidi="ar"/>
              </w:rPr>
              <w:t>扣款</w:t>
            </w:r>
            <w:r>
              <w:rPr>
                <w:rFonts w:hint="default" w:ascii="宋体" w:hAnsi="宋体" w:eastAsia="宋体" w:cs="宋体"/>
                <w:color w:val="auto"/>
                <w:kern w:val="0"/>
                <w:sz w:val="24"/>
                <w:szCs w:val="24"/>
                <w:lang w:val="en-US" w:eastAsia="zh-CN" w:bidi="ar"/>
              </w:rPr>
              <w:t>。</w:t>
            </w:r>
          </w:p>
        </w:tc>
      </w:tr>
    </w:tbl>
    <w:p>
      <w:pPr>
        <w:bidi w:val="0"/>
        <w:adjustRightInd w:val="0"/>
        <w:snapToGrid w:val="0"/>
        <w:spacing w:line="360" w:lineRule="auto"/>
        <w:ind w:firstLine="480" w:firstLineChars="200"/>
        <w:rPr>
          <w:rFonts w:hint="eastAsia" w:ascii="宋体" w:hAnsi="宋体" w:eastAsia="宋体" w:cs="宋体"/>
          <w:b/>
          <w:bCs/>
          <w:color w:val="auto"/>
          <w:sz w:val="24"/>
          <w:lang w:val="en-US" w:eastAsia="zh-CN"/>
        </w:rPr>
      </w:pPr>
      <w:r>
        <w:rPr>
          <w:rFonts w:hint="eastAsia" w:ascii="宋体" w:hAnsi="宋体" w:eastAsia="宋体" w:cs="宋体"/>
          <w:color w:val="auto"/>
          <w:sz w:val="24"/>
          <w:lang w:val="en-US" w:eastAsia="zh-CN"/>
        </w:rPr>
        <w:t>特别说明：由于财政拨款等手续问题导致支付延误，乙方不追究甲方责任。</w:t>
      </w:r>
    </w:p>
    <w:p>
      <w:pPr>
        <w:numPr>
          <w:ilvl w:val="0"/>
          <w:numId w:val="4"/>
        </w:numPr>
        <w:outlineLvl w:val="0"/>
        <w:rPr>
          <w:rFonts w:hint="eastAsia" w:ascii="宋体" w:hAnsi="宋体"/>
          <w:b/>
          <w:color w:val="auto"/>
          <w:sz w:val="30"/>
          <w:szCs w:val="30"/>
        </w:rPr>
      </w:pPr>
      <w:r>
        <w:rPr>
          <w:rFonts w:hint="eastAsia" w:ascii="宋体" w:hAnsi="宋体"/>
          <w:b/>
          <w:color w:val="auto"/>
          <w:sz w:val="30"/>
          <w:szCs w:val="30"/>
        </w:rPr>
        <w:t>评标方法</w:t>
      </w:r>
    </w:p>
    <w:p>
      <w:pPr>
        <w:pStyle w:val="14"/>
        <w:widowControl/>
        <w:spacing w:beforeAutospacing="0" w:afterAutospacing="0" w:line="360" w:lineRule="auto"/>
        <w:rPr>
          <w:color w:val="auto"/>
        </w:rPr>
      </w:pPr>
      <w:r>
        <w:rPr>
          <w:rFonts w:hint="eastAsia"/>
          <w:b/>
          <w:bCs/>
          <w:color w:val="auto"/>
          <w:sz w:val="24"/>
          <w:szCs w:val="24"/>
        </w:rPr>
        <w:t>采用最低评标价法。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63968"/>
    <w:multiLevelType w:val="multilevel"/>
    <w:tmpl w:val="33463968"/>
    <w:lvl w:ilvl="0" w:tentative="0">
      <w:start w:val="1"/>
      <w:numFmt w:val="decimal"/>
      <w:lvlText w:val="%1"/>
      <w:lvlJc w:val="left"/>
      <w:pPr>
        <w:ind w:left="432" w:hanging="432"/>
      </w:pPr>
    </w:lvl>
    <w:lvl w:ilvl="1" w:tentative="0">
      <w:start w:val="1"/>
      <w:numFmt w:val="decimal"/>
      <w:lvlText w:val="%1.%2"/>
      <w:lvlJc w:val="left"/>
      <w:pPr>
        <w:ind w:left="1144"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5CB7EDB4"/>
    <w:multiLevelType w:val="multilevel"/>
    <w:tmpl w:val="5CB7EDB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sz w:val="36"/>
        <w:szCs w:val="36"/>
      </w:rPr>
    </w:lvl>
    <w:lvl w:ilvl="2" w:tentative="0">
      <w:start w:val="1"/>
      <w:numFmt w:val="decimal"/>
      <w:lvlText w:val="%1.%2.%3."/>
      <w:lvlJc w:val="left"/>
      <w:pPr>
        <w:ind w:left="720" w:hanging="720"/>
      </w:pPr>
      <w:rPr>
        <w:rFonts w:hint="default"/>
      </w:rPr>
    </w:lvl>
    <w:lvl w:ilvl="3" w:tentative="0">
      <w:start w:val="1"/>
      <w:numFmt w:val="decimal"/>
      <w:lvlText w:val="%1.%2.%3.%4."/>
      <w:lvlJc w:val="left"/>
      <w:pPr>
        <w:ind w:left="5683"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lvlText w:val="%1.%2.%3.%4.%5.%6."/>
      <w:lvlJc w:val="left"/>
      <w:pPr>
        <w:ind w:left="1151" w:hanging="1151"/>
      </w:pPr>
      <w:rPr>
        <w:rFonts w:hint="default" w:ascii="宋体" w:hAnsi="宋体" w:eastAsia="宋体" w:cs="宋体"/>
        <w:b/>
        <w:bCs/>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5DE9C911"/>
    <w:multiLevelType w:val="multilevel"/>
    <w:tmpl w:val="5DE9C911"/>
    <w:lvl w:ilvl="0" w:tentative="0">
      <w:start w:val="1"/>
      <w:numFmt w:val="decimal"/>
      <w:pStyle w:val="21"/>
      <w:suff w:val="nothing"/>
      <w:lvlText w:val="第%1章 "/>
      <w:lvlJc w:val="left"/>
      <w:pPr>
        <w:ind w:left="1276" w:firstLine="0"/>
      </w:pPr>
      <w:rPr>
        <w:rFonts w:hint="eastAsia" w:ascii="宋体" w:hAnsi="宋体" w:eastAsia="宋体"/>
        <w:b/>
        <w:i w:val="0"/>
        <w:sz w:val="44"/>
      </w:rPr>
    </w:lvl>
    <w:lvl w:ilvl="1" w:tentative="0">
      <w:start w:val="1"/>
      <w:numFmt w:val="decimal"/>
      <w:pStyle w:val="22"/>
      <w:suff w:val="nothing"/>
      <w:lvlText w:val="%1.%2."/>
      <w:lvlJc w:val="left"/>
      <w:pPr>
        <w:ind w:left="1260" w:firstLine="0"/>
      </w:pPr>
      <w:rPr>
        <w:rFonts w:hint="eastAsia" w:ascii="宋体" w:hAnsi="宋体" w:eastAsia="宋体" w:cs="宋体"/>
        <w:b/>
        <w:i w:val="0"/>
        <w:sz w:val="36"/>
        <w:szCs w:val="36"/>
      </w:rPr>
    </w:lvl>
    <w:lvl w:ilvl="2" w:tentative="0">
      <w:start w:val="1"/>
      <w:numFmt w:val="decimal"/>
      <w:pStyle w:val="23"/>
      <w:suff w:val="nothing"/>
      <w:lvlText w:val="%1.%2.%3."/>
      <w:lvlJc w:val="left"/>
      <w:pPr>
        <w:ind w:left="0" w:firstLine="0"/>
      </w:pPr>
      <w:rPr>
        <w:rFonts w:hint="eastAsia" w:ascii="宋体" w:hAnsi="宋体" w:eastAsia="宋体" w:cs="宋体"/>
        <w:b/>
        <w:i w:val="0"/>
        <w:sz w:val="32"/>
        <w:szCs w:val="32"/>
      </w:rPr>
    </w:lvl>
    <w:lvl w:ilvl="3" w:tentative="0">
      <w:start w:val="1"/>
      <w:numFmt w:val="decimal"/>
      <w:suff w:val="nothing"/>
      <w:lvlText w:val="%1.%2.%3.%4."/>
      <w:lvlJc w:val="left"/>
      <w:pPr>
        <w:ind w:left="0" w:firstLine="0"/>
      </w:pPr>
      <w:rPr>
        <w:rFonts w:hint="eastAsia" w:ascii="宋体" w:hAnsi="宋体" w:eastAsia="宋体"/>
        <w:b/>
        <w:i w:val="0"/>
        <w:sz w:val="30"/>
        <w:szCs w:val="30"/>
      </w:rPr>
    </w:lvl>
    <w:lvl w:ilvl="4" w:tentative="0">
      <w:start w:val="1"/>
      <w:numFmt w:val="decimal"/>
      <w:suff w:val="nothing"/>
      <w:lvlText w:val="%1.%2.%3.%4.%5."/>
      <w:lvlJc w:val="left"/>
      <w:pPr>
        <w:ind w:left="0" w:firstLine="0"/>
      </w:pPr>
      <w:rPr>
        <w:rFonts w:hint="eastAsia" w:ascii="宋体" w:hAnsi="宋体" w:eastAsia="宋体"/>
        <w:b/>
        <w:i w:val="0"/>
        <w:sz w:val="28"/>
        <w:szCs w:val="28"/>
      </w:rPr>
    </w:lvl>
    <w:lvl w:ilvl="5" w:tentative="0">
      <w:start w:val="1"/>
      <w:numFmt w:val="decimal"/>
      <w:suff w:val="nothing"/>
      <w:lvlText w:val="%1.%2.%3.%4.%5.%6."/>
      <w:lvlJc w:val="left"/>
      <w:pPr>
        <w:ind w:left="0" w:firstLine="0"/>
      </w:pPr>
      <w:rPr>
        <w:rFonts w:hint="default" w:ascii="宋体" w:hAnsi="宋体" w:eastAsia="宋体"/>
        <w:b/>
        <w:bCs w:val="0"/>
        <w:i w:val="0"/>
        <w:sz w:val="24"/>
      </w:rPr>
    </w:lvl>
    <w:lvl w:ilvl="6" w:tentative="0">
      <w:start w:val="1"/>
      <w:numFmt w:val="decimal"/>
      <w:lvlText w:val="%1.%2.%3.%4.%5.%6.%7."/>
      <w:lvlJc w:val="left"/>
      <w:pPr>
        <w:tabs>
          <w:tab w:val="left" w:pos="1276"/>
        </w:tabs>
        <w:ind w:left="0" w:firstLine="0"/>
      </w:pPr>
      <w:rPr>
        <w:rFonts w:hint="default" w:ascii="宋体" w:hAnsi="宋体" w:eastAsia="宋体"/>
        <w:b/>
        <w:bCs/>
        <w:i w:val="0"/>
        <w:sz w:val="24"/>
      </w:rPr>
    </w:lvl>
    <w:lvl w:ilvl="7" w:tentative="0">
      <w:start w:val="1"/>
      <w:numFmt w:val="decimal"/>
      <w:lvlText w:val="%1.%2.%3.%4.%5.%6.%7.%8."/>
      <w:lvlJc w:val="left"/>
      <w:pPr>
        <w:tabs>
          <w:tab w:val="left" w:pos="1418"/>
        </w:tabs>
        <w:ind w:left="0" w:firstLine="0"/>
      </w:pPr>
    </w:lvl>
    <w:lvl w:ilvl="8" w:tentative="0">
      <w:start w:val="1"/>
      <w:numFmt w:val="decimal"/>
      <w:lvlText w:val="%1.%2.%3.%4.%5.%6.%7.%8.%9."/>
      <w:lvlJc w:val="left"/>
      <w:pPr>
        <w:tabs>
          <w:tab w:val="left" w:pos="1559"/>
        </w:tabs>
        <w:ind w:left="0" w:firstLine="0"/>
      </w:pPr>
    </w:lvl>
  </w:abstractNum>
  <w:abstractNum w:abstractNumId="3">
    <w:nsid w:val="7CD27F72"/>
    <w:multiLevelType w:val="singleLevel"/>
    <w:tmpl w:val="7CD27F72"/>
    <w:lvl w:ilvl="0" w:tentative="0">
      <w:start w:val="2"/>
      <w:numFmt w:val="chineseCounting"/>
      <w:suff w:val="nothing"/>
      <w:lvlText w:val="%1、"/>
      <w:lvlJc w:val="left"/>
      <w:rPr>
        <w:rFonts w:hint="eastAsia"/>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zg0NDdkY2EzYzNiOTE0MTFiNjg1NjI0NDYzMzAifQ=="/>
  </w:docVars>
  <w:rsids>
    <w:rsidRoot w:val="1D402A9E"/>
    <w:rsid w:val="00007EC1"/>
    <w:rsid w:val="00045992"/>
    <w:rsid w:val="00057D42"/>
    <w:rsid w:val="000852E7"/>
    <w:rsid w:val="000A1605"/>
    <w:rsid w:val="000D156E"/>
    <w:rsid w:val="000D4A4C"/>
    <w:rsid w:val="000F3C3D"/>
    <w:rsid w:val="00205ABC"/>
    <w:rsid w:val="0029343E"/>
    <w:rsid w:val="002F3851"/>
    <w:rsid w:val="0033497D"/>
    <w:rsid w:val="003F4504"/>
    <w:rsid w:val="00485001"/>
    <w:rsid w:val="00495C79"/>
    <w:rsid w:val="004A2801"/>
    <w:rsid w:val="004C7188"/>
    <w:rsid w:val="005277DF"/>
    <w:rsid w:val="00574B1E"/>
    <w:rsid w:val="00590FE1"/>
    <w:rsid w:val="005944B4"/>
    <w:rsid w:val="005E2FBD"/>
    <w:rsid w:val="00605D3D"/>
    <w:rsid w:val="006275BD"/>
    <w:rsid w:val="006C3EFF"/>
    <w:rsid w:val="007429D7"/>
    <w:rsid w:val="00757346"/>
    <w:rsid w:val="00787E5B"/>
    <w:rsid w:val="00853D7B"/>
    <w:rsid w:val="00896043"/>
    <w:rsid w:val="00984786"/>
    <w:rsid w:val="009F51A4"/>
    <w:rsid w:val="00A261BB"/>
    <w:rsid w:val="00A91320"/>
    <w:rsid w:val="00AB055C"/>
    <w:rsid w:val="00AD5CA4"/>
    <w:rsid w:val="00AE3E77"/>
    <w:rsid w:val="00B053BA"/>
    <w:rsid w:val="00C3179B"/>
    <w:rsid w:val="00D86C86"/>
    <w:rsid w:val="00E023D1"/>
    <w:rsid w:val="00E83B36"/>
    <w:rsid w:val="00EE3993"/>
    <w:rsid w:val="00F65C99"/>
    <w:rsid w:val="01061784"/>
    <w:rsid w:val="0109464A"/>
    <w:rsid w:val="01202CF3"/>
    <w:rsid w:val="01285010"/>
    <w:rsid w:val="016463DB"/>
    <w:rsid w:val="016738CA"/>
    <w:rsid w:val="0180359B"/>
    <w:rsid w:val="018F665E"/>
    <w:rsid w:val="019A1B55"/>
    <w:rsid w:val="019C486D"/>
    <w:rsid w:val="01AF71CD"/>
    <w:rsid w:val="01C21380"/>
    <w:rsid w:val="01C42A94"/>
    <w:rsid w:val="01CD0E57"/>
    <w:rsid w:val="01D21FDA"/>
    <w:rsid w:val="01D46D54"/>
    <w:rsid w:val="01E6654B"/>
    <w:rsid w:val="01FB4268"/>
    <w:rsid w:val="0209417F"/>
    <w:rsid w:val="02105C3F"/>
    <w:rsid w:val="022A493A"/>
    <w:rsid w:val="024412D2"/>
    <w:rsid w:val="024E19F4"/>
    <w:rsid w:val="02506DBE"/>
    <w:rsid w:val="026C3750"/>
    <w:rsid w:val="028A3D1F"/>
    <w:rsid w:val="02A03DD9"/>
    <w:rsid w:val="02B3437A"/>
    <w:rsid w:val="02B75F86"/>
    <w:rsid w:val="03335DFB"/>
    <w:rsid w:val="034858FC"/>
    <w:rsid w:val="034E2710"/>
    <w:rsid w:val="0354170E"/>
    <w:rsid w:val="0361246F"/>
    <w:rsid w:val="036F2389"/>
    <w:rsid w:val="037D75D5"/>
    <w:rsid w:val="03976643"/>
    <w:rsid w:val="03AC0713"/>
    <w:rsid w:val="03B65469"/>
    <w:rsid w:val="03BE0E2C"/>
    <w:rsid w:val="03F57CCF"/>
    <w:rsid w:val="03FF7031"/>
    <w:rsid w:val="04002CC6"/>
    <w:rsid w:val="0402471A"/>
    <w:rsid w:val="040E46D2"/>
    <w:rsid w:val="042A5739"/>
    <w:rsid w:val="043D4EB3"/>
    <w:rsid w:val="0440437E"/>
    <w:rsid w:val="04416AE0"/>
    <w:rsid w:val="049952A1"/>
    <w:rsid w:val="04D56B47"/>
    <w:rsid w:val="04D84FBA"/>
    <w:rsid w:val="04EE3672"/>
    <w:rsid w:val="052B4931"/>
    <w:rsid w:val="05355B4E"/>
    <w:rsid w:val="056B5EC8"/>
    <w:rsid w:val="05CA31A9"/>
    <w:rsid w:val="05D607AB"/>
    <w:rsid w:val="05F61886"/>
    <w:rsid w:val="062060A6"/>
    <w:rsid w:val="06314604"/>
    <w:rsid w:val="06361BED"/>
    <w:rsid w:val="063E32B2"/>
    <w:rsid w:val="06490AEF"/>
    <w:rsid w:val="06515400"/>
    <w:rsid w:val="06817090"/>
    <w:rsid w:val="068645E4"/>
    <w:rsid w:val="069E35FE"/>
    <w:rsid w:val="06BD2824"/>
    <w:rsid w:val="06D264D0"/>
    <w:rsid w:val="070D4021"/>
    <w:rsid w:val="07256C50"/>
    <w:rsid w:val="07493052"/>
    <w:rsid w:val="074F7702"/>
    <w:rsid w:val="075B11D7"/>
    <w:rsid w:val="076E768E"/>
    <w:rsid w:val="07713E35"/>
    <w:rsid w:val="07B72CAB"/>
    <w:rsid w:val="07BA200A"/>
    <w:rsid w:val="07C0123D"/>
    <w:rsid w:val="07E01F10"/>
    <w:rsid w:val="07E23D53"/>
    <w:rsid w:val="07E561A7"/>
    <w:rsid w:val="081F50C5"/>
    <w:rsid w:val="08266449"/>
    <w:rsid w:val="083A5B08"/>
    <w:rsid w:val="08560DE5"/>
    <w:rsid w:val="0866137F"/>
    <w:rsid w:val="087171C6"/>
    <w:rsid w:val="087A71F7"/>
    <w:rsid w:val="0881497F"/>
    <w:rsid w:val="08866143"/>
    <w:rsid w:val="088B23D6"/>
    <w:rsid w:val="088D365A"/>
    <w:rsid w:val="08AC6194"/>
    <w:rsid w:val="08C37B4C"/>
    <w:rsid w:val="08CE4183"/>
    <w:rsid w:val="08DF56C3"/>
    <w:rsid w:val="08E20563"/>
    <w:rsid w:val="08E34D70"/>
    <w:rsid w:val="08FF0CF5"/>
    <w:rsid w:val="09205020"/>
    <w:rsid w:val="09213C99"/>
    <w:rsid w:val="095A6A7F"/>
    <w:rsid w:val="096372C5"/>
    <w:rsid w:val="096D5605"/>
    <w:rsid w:val="09850FF1"/>
    <w:rsid w:val="099153DD"/>
    <w:rsid w:val="09B27270"/>
    <w:rsid w:val="09CA7D13"/>
    <w:rsid w:val="0A1E1D47"/>
    <w:rsid w:val="0A450CDF"/>
    <w:rsid w:val="0A5847B8"/>
    <w:rsid w:val="0A6D1825"/>
    <w:rsid w:val="0A7D34D6"/>
    <w:rsid w:val="0AD47B87"/>
    <w:rsid w:val="0AEB43A3"/>
    <w:rsid w:val="0AFD14CD"/>
    <w:rsid w:val="0B0E43D2"/>
    <w:rsid w:val="0B230496"/>
    <w:rsid w:val="0B2A4C43"/>
    <w:rsid w:val="0B351839"/>
    <w:rsid w:val="0B387901"/>
    <w:rsid w:val="0B4704EF"/>
    <w:rsid w:val="0B475F5C"/>
    <w:rsid w:val="0B4A14A2"/>
    <w:rsid w:val="0B4E580F"/>
    <w:rsid w:val="0B5C0661"/>
    <w:rsid w:val="0B7A075E"/>
    <w:rsid w:val="0B8F6AF4"/>
    <w:rsid w:val="0B9F7FAE"/>
    <w:rsid w:val="0BAA09C2"/>
    <w:rsid w:val="0BB23702"/>
    <w:rsid w:val="0BB31698"/>
    <w:rsid w:val="0BB41C4F"/>
    <w:rsid w:val="0BD41269"/>
    <w:rsid w:val="0BD623A6"/>
    <w:rsid w:val="0C097531"/>
    <w:rsid w:val="0C244B86"/>
    <w:rsid w:val="0C2C0531"/>
    <w:rsid w:val="0C3B0FF8"/>
    <w:rsid w:val="0C3C5E0B"/>
    <w:rsid w:val="0C4C2A44"/>
    <w:rsid w:val="0C705DCC"/>
    <w:rsid w:val="0C940B25"/>
    <w:rsid w:val="0CCF568B"/>
    <w:rsid w:val="0D006B19"/>
    <w:rsid w:val="0D0C028D"/>
    <w:rsid w:val="0D2F29C2"/>
    <w:rsid w:val="0D326AAF"/>
    <w:rsid w:val="0D3542BA"/>
    <w:rsid w:val="0D720016"/>
    <w:rsid w:val="0D773787"/>
    <w:rsid w:val="0D7E7FBB"/>
    <w:rsid w:val="0D8A797A"/>
    <w:rsid w:val="0D9A681D"/>
    <w:rsid w:val="0DBC2FD6"/>
    <w:rsid w:val="0DEF3741"/>
    <w:rsid w:val="0DF84D1D"/>
    <w:rsid w:val="0E153EAC"/>
    <w:rsid w:val="0E224414"/>
    <w:rsid w:val="0E366F9F"/>
    <w:rsid w:val="0E425B4E"/>
    <w:rsid w:val="0E696997"/>
    <w:rsid w:val="0E7F7433"/>
    <w:rsid w:val="0E994C1F"/>
    <w:rsid w:val="0ED564B0"/>
    <w:rsid w:val="0F0B71F3"/>
    <w:rsid w:val="0F2F3CCC"/>
    <w:rsid w:val="0F3B2449"/>
    <w:rsid w:val="0F40017E"/>
    <w:rsid w:val="0F447EC5"/>
    <w:rsid w:val="0F492381"/>
    <w:rsid w:val="0F4D1489"/>
    <w:rsid w:val="0F645FD8"/>
    <w:rsid w:val="0F667D5A"/>
    <w:rsid w:val="0F792019"/>
    <w:rsid w:val="0FA450C4"/>
    <w:rsid w:val="0FD929FB"/>
    <w:rsid w:val="0FE37E25"/>
    <w:rsid w:val="0FEE70A0"/>
    <w:rsid w:val="0FEF5A24"/>
    <w:rsid w:val="0FF94982"/>
    <w:rsid w:val="10031E5F"/>
    <w:rsid w:val="101C6305"/>
    <w:rsid w:val="102375A3"/>
    <w:rsid w:val="104C0EB8"/>
    <w:rsid w:val="105650C6"/>
    <w:rsid w:val="105C53E7"/>
    <w:rsid w:val="10711E6D"/>
    <w:rsid w:val="107321CD"/>
    <w:rsid w:val="10733128"/>
    <w:rsid w:val="10757467"/>
    <w:rsid w:val="10854F9B"/>
    <w:rsid w:val="109977E6"/>
    <w:rsid w:val="10A054EA"/>
    <w:rsid w:val="10BF7252"/>
    <w:rsid w:val="1116531D"/>
    <w:rsid w:val="115E4416"/>
    <w:rsid w:val="116D099B"/>
    <w:rsid w:val="117357B8"/>
    <w:rsid w:val="11E576C7"/>
    <w:rsid w:val="12097F00"/>
    <w:rsid w:val="12134569"/>
    <w:rsid w:val="12784795"/>
    <w:rsid w:val="12812428"/>
    <w:rsid w:val="128561A4"/>
    <w:rsid w:val="1287479D"/>
    <w:rsid w:val="12904981"/>
    <w:rsid w:val="129640D0"/>
    <w:rsid w:val="12A936EE"/>
    <w:rsid w:val="12B96C2B"/>
    <w:rsid w:val="12CC3658"/>
    <w:rsid w:val="12E45794"/>
    <w:rsid w:val="12E53009"/>
    <w:rsid w:val="13105B9A"/>
    <w:rsid w:val="133B61B7"/>
    <w:rsid w:val="133E6103"/>
    <w:rsid w:val="134F0BD6"/>
    <w:rsid w:val="13A2785E"/>
    <w:rsid w:val="13C76124"/>
    <w:rsid w:val="13DD6FB7"/>
    <w:rsid w:val="13EA7E67"/>
    <w:rsid w:val="13F15553"/>
    <w:rsid w:val="13FE738A"/>
    <w:rsid w:val="141A3F5A"/>
    <w:rsid w:val="1431243C"/>
    <w:rsid w:val="145B43E9"/>
    <w:rsid w:val="14737C61"/>
    <w:rsid w:val="14757B82"/>
    <w:rsid w:val="147D2E61"/>
    <w:rsid w:val="149235DD"/>
    <w:rsid w:val="14AE5BEE"/>
    <w:rsid w:val="14D424C1"/>
    <w:rsid w:val="14F03A79"/>
    <w:rsid w:val="14FA08D6"/>
    <w:rsid w:val="1506135C"/>
    <w:rsid w:val="150D27C1"/>
    <w:rsid w:val="15322C8B"/>
    <w:rsid w:val="15545F6B"/>
    <w:rsid w:val="1564537D"/>
    <w:rsid w:val="159274CF"/>
    <w:rsid w:val="15A66834"/>
    <w:rsid w:val="15C519EC"/>
    <w:rsid w:val="15D64113"/>
    <w:rsid w:val="15D86131"/>
    <w:rsid w:val="15E54014"/>
    <w:rsid w:val="15E72DEE"/>
    <w:rsid w:val="160A08B2"/>
    <w:rsid w:val="1614125E"/>
    <w:rsid w:val="165179C0"/>
    <w:rsid w:val="1655688D"/>
    <w:rsid w:val="16571017"/>
    <w:rsid w:val="16694B92"/>
    <w:rsid w:val="166A0825"/>
    <w:rsid w:val="167B5639"/>
    <w:rsid w:val="167F0BB7"/>
    <w:rsid w:val="16981673"/>
    <w:rsid w:val="16A11E3D"/>
    <w:rsid w:val="16A321A2"/>
    <w:rsid w:val="16C32FBA"/>
    <w:rsid w:val="16F03F1A"/>
    <w:rsid w:val="16F15283"/>
    <w:rsid w:val="16F612EA"/>
    <w:rsid w:val="16FC6942"/>
    <w:rsid w:val="171145C0"/>
    <w:rsid w:val="17130E05"/>
    <w:rsid w:val="171A4065"/>
    <w:rsid w:val="174D27BC"/>
    <w:rsid w:val="17596C5B"/>
    <w:rsid w:val="176B7394"/>
    <w:rsid w:val="178B5510"/>
    <w:rsid w:val="17AD1413"/>
    <w:rsid w:val="17B03CBD"/>
    <w:rsid w:val="17CE66D4"/>
    <w:rsid w:val="17E02E35"/>
    <w:rsid w:val="17E868E5"/>
    <w:rsid w:val="180E292C"/>
    <w:rsid w:val="18140DA4"/>
    <w:rsid w:val="182E5254"/>
    <w:rsid w:val="183A3548"/>
    <w:rsid w:val="189009CE"/>
    <w:rsid w:val="189E5308"/>
    <w:rsid w:val="18D25D58"/>
    <w:rsid w:val="18F12622"/>
    <w:rsid w:val="18F16C56"/>
    <w:rsid w:val="19287B14"/>
    <w:rsid w:val="193C2C9E"/>
    <w:rsid w:val="193D0146"/>
    <w:rsid w:val="195D2545"/>
    <w:rsid w:val="19752590"/>
    <w:rsid w:val="19826E64"/>
    <w:rsid w:val="198960A8"/>
    <w:rsid w:val="19917E03"/>
    <w:rsid w:val="19B17258"/>
    <w:rsid w:val="19C34395"/>
    <w:rsid w:val="19C420D9"/>
    <w:rsid w:val="19C470DB"/>
    <w:rsid w:val="19D54172"/>
    <w:rsid w:val="19EC3B22"/>
    <w:rsid w:val="19F71A3D"/>
    <w:rsid w:val="1A1963D5"/>
    <w:rsid w:val="1A1B31E6"/>
    <w:rsid w:val="1A205B1B"/>
    <w:rsid w:val="1A292AD5"/>
    <w:rsid w:val="1A593A6D"/>
    <w:rsid w:val="1A85622F"/>
    <w:rsid w:val="1A950227"/>
    <w:rsid w:val="1AA232AC"/>
    <w:rsid w:val="1AE16790"/>
    <w:rsid w:val="1AEA0B81"/>
    <w:rsid w:val="1AF838AC"/>
    <w:rsid w:val="1B001D4D"/>
    <w:rsid w:val="1B3C313F"/>
    <w:rsid w:val="1B643EED"/>
    <w:rsid w:val="1B755719"/>
    <w:rsid w:val="1BA66C5F"/>
    <w:rsid w:val="1BAE7C15"/>
    <w:rsid w:val="1BB3240E"/>
    <w:rsid w:val="1BBC3A6A"/>
    <w:rsid w:val="1BDF4751"/>
    <w:rsid w:val="1BF275D0"/>
    <w:rsid w:val="1C1E6E66"/>
    <w:rsid w:val="1C233E84"/>
    <w:rsid w:val="1C35511C"/>
    <w:rsid w:val="1C630085"/>
    <w:rsid w:val="1C775121"/>
    <w:rsid w:val="1CF350B8"/>
    <w:rsid w:val="1CFF70EF"/>
    <w:rsid w:val="1D402A9E"/>
    <w:rsid w:val="1D4C5F5D"/>
    <w:rsid w:val="1D4E29EB"/>
    <w:rsid w:val="1D5532E4"/>
    <w:rsid w:val="1D643E94"/>
    <w:rsid w:val="1D6975CC"/>
    <w:rsid w:val="1DB2518E"/>
    <w:rsid w:val="1DC81B6B"/>
    <w:rsid w:val="1DEF7F1B"/>
    <w:rsid w:val="1DF07C9F"/>
    <w:rsid w:val="1DF655C9"/>
    <w:rsid w:val="1DF90007"/>
    <w:rsid w:val="1E09052F"/>
    <w:rsid w:val="1E2228C9"/>
    <w:rsid w:val="1E2E18A1"/>
    <w:rsid w:val="1E4610AA"/>
    <w:rsid w:val="1E4A757B"/>
    <w:rsid w:val="1E567EE2"/>
    <w:rsid w:val="1E570577"/>
    <w:rsid w:val="1E635B5A"/>
    <w:rsid w:val="1E696991"/>
    <w:rsid w:val="1E83347E"/>
    <w:rsid w:val="1E88574C"/>
    <w:rsid w:val="1E950CDB"/>
    <w:rsid w:val="1E9712FD"/>
    <w:rsid w:val="1EA41415"/>
    <w:rsid w:val="1EB27217"/>
    <w:rsid w:val="1EB37E52"/>
    <w:rsid w:val="1EC16131"/>
    <w:rsid w:val="1EC962D3"/>
    <w:rsid w:val="1ED11F31"/>
    <w:rsid w:val="1EDC1049"/>
    <w:rsid w:val="1EDC730E"/>
    <w:rsid w:val="1EF50466"/>
    <w:rsid w:val="1EF56327"/>
    <w:rsid w:val="1F010521"/>
    <w:rsid w:val="1F0216CA"/>
    <w:rsid w:val="1F081E12"/>
    <w:rsid w:val="1F491C1D"/>
    <w:rsid w:val="1F4A55A8"/>
    <w:rsid w:val="1F5D35F5"/>
    <w:rsid w:val="1F637E0E"/>
    <w:rsid w:val="1F782134"/>
    <w:rsid w:val="1F890765"/>
    <w:rsid w:val="1F9C4BE6"/>
    <w:rsid w:val="1FC46891"/>
    <w:rsid w:val="1FE7199E"/>
    <w:rsid w:val="1FEF27C5"/>
    <w:rsid w:val="20065F9A"/>
    <w:rsid w:val="2009129A"/>
    <w:rsid w:val="20093E5D"/>
    <w:rsid w:val="202B4A4B"/>
    <w:rsid w:val="20307BF8"/>
    <w:rsid w:val="20427C09"/>
    <w:rsid w:val="204C642D"/>
    <w:rsid w:val="20575BB7"/>
    <w:rsid w:val="206F68F1"/>
    <w:rsid w:val="207244A9"/>
    <w:rsid w:val="20920378"/>
    <w:rsid w:val="209B195E"/>
    <w:rsid w:val="209D3FEF"/>
    <w:rsid w:val="20A506DE"/>
    <w:rsid w:val="20D779DE"/>
    <w:rsid w:val="20F54D0D"/>
    <w:rsid w:val="21335475"/>
    <w:rsid w:val="21510CF7"/>
    <w:rsid w:val="216162E4"/>
    <w:rsid w:val="21761247"/>
    <w:rsid w:val="21772B83"/>
    <w:rsid w:val="21A46CDD"/>
    <w:rsid w:val="21E13994"/>
    <w:rsid w:val="21EA2C61"/>
    <w:rsid w:val="21FC62F2"/>
    <w:rsid w:val="220364D9"/>
    <w:rsid w:val="2206426E"/>
    <w:rsid w:val="220D4533"/>
    <w:rsid w:val="222463D5"/>
    <w:rsid w:val="222C13C2"/>
    <w:rsid w:val="222C4A81"/>
    <w:rsid w:val="22503C12"/>
    <w:rsid w:val="22546B5D"/>
    <w:rsid w:val="22552720"/>
    <w:rsid w:val="225C6357"/>
    <w:rsid w:val="226C09F4"/>
    <w:rsid w:val="22733872"/>
    <w:rsid w:val="22767E75"/>
    <w:rsid w:val="22B833B9"/>
    <w:rsid w:val="22C0333E"/>
    <w:rsid w:val="22F53C8D"/>
    <w:rsid w:val="230218D6"/>
    <w:rsid w:val="23287FB9"/>
    <w:rsid w:val="23344599"/>
    <w:rsid w:val="23384265"/>
    <w:rsid w:val="234B53D5"/>
    <w:rsid w:val="236A6215"/>
    <w:rsid w:val="237651AD"/>
    <w:rsid w:val="23961AB8"/>
    <w:rsid w:val="23A34087"/>
    <w:rsid w:val="23DB20EA"/>
    <w:rsid w:val="23E42236"/>
    <w:rsid w:val="23F202EC"/>
    <w:rsid w:val="23FF2A92"/>
    <w:rsid w:val="24185D0B"/>
    <w:rsid w:val="241C3EF0"/>
    <w:rsid w:val="241D5D7A"/>
    <w:rsid w:val="243C7026"/>
    <w:rsid w:val="24721C02"/>
    <w:rsid w:val="247B35BD"/>
    <w:rsid w:val="24852E7E"/>
    <w:rsid w:val="24A071B0"/>
    <w:rsid w:val="24DC4818"/>
    <w:rsid w:val="24DC7B4B"/>
    <w:rsid w:val="24DE08B9"/>
    <w:rsid w:val="24FE1E2E"/>
    <w:rsid w:val="251505D3"/>
    <w:rsid w:val="25157500"/>
    <w:rsid w:val="251E7FFD"/>
    <w:rsid w:val="251F42E1"/>
    <w:rsid w:val="2527792A"/>
    <w:rsid w:val="253C5783"/>
    <w:rsid w:val="253D3ED0"/>
    <w:rsid w:val="2550324B"/>
    <w:rsid w:val="25694031"/>
    <w:rsid w:val="256A4DEB"/>
    <w:rsid w:val="25890E7B"/>
    <w:rsid w:val="258F7140"/>
    <w:rsid w:val="259023CE"/>
    <w:rsid w:val="25904C87"/>
    <w:rsid w:val="259F1096"/>
    <w:rsid w:val="25A1045C"/>
    <w:rsid w:val="25A472D8"/>
    <w:rsid w:val="25BA348D"/>
    <w:rsid w:val="25BC18CF"/>
    <w:rsid w:val="25C40645"/>
    <w:rsid w:val="25D15822"/>
    <w:rsid w:val="25DC790F"/>
    <w:rsid w:val="25DE5E07"/>
    <w:rsid w:val="25E3017F"/>
    <w:rsid w:val="25E35B8B"/>
    <w:rsid w:val="25F331DE"/>
    <w:rsid w:val="2603068A"/>
    <w:rsid w:val="26092F74"/>
    <w:rsid w:val="26217BCF"/>
    <w:rsid w:val="262201D0"/>
    <w:rsid w:val="26272471"/>
    <w:rsid w:val="262A0DE8"/>
    <w:rsid w:val="263F4642"/>
    <w:rsid w:val="263F5BA4"/>
    <w:rsid w:val="26466F14"/>
    <w:rsid w:val="2651535E"/>
    <w:rsid w:val="2669364B"/>
    <w:rsid w:val="2672033D"/>
    <w:rsid w:val="267D4AB2"/>
    <w:rsid w:val="26A20F70"/>
    <w:rsid w:val="26A25CFA"/>
    <w:rsid w:val="26B81246"/>
    <w:rsid w:val="26BD2EB0"/>
    <w:rsid w:val="26C960A0"/>
    <w:rsid w:val="26CF532F"/>
    <w:rsid w:val="26E17F34"/>
    <w:rsid w:val="27005A14"/>
    <w:rsid w:val="272807E3"/>
    <w:rsid w:val="27447824"/>
    <w:rsid w:val="274E5D16"/>
    <w:rsid w:val="276250A7"/>
    <w:rsid w:val="27634653"/>
    <w:rsid w:val="276A7198"/>
    <w:rsid w:val="277A6BBC"/>
    <w:rsid w:val="277B1108"/>
    <w:rsid w:val="27870405"/>
    <w:rsid w:val="27915163"/>
    <w:rsid w:val="279F01B2"/>
    <w:rsid w:val="27BA066D"/>
    <w:rsid w:val="27D857FB"/>
    <w:rsid w:val="284D508E"/>
    <w:rsid w:val="284E140A"/>
    <w:rsid w:val="285F3CEA"/>
    <w:rsid w:val="289F6DDB"/>
    <w:rsid w:val="28C914A8"/>
    <w:rsid w:val="28E1641E"/>
    <w:rsid w:val="292A511A"/>
    <w:rsid w:val="295A4D5A"/>
    <w:rsid w:val="296F1A7D"/>
    <w:rsid w:val="298914F5"/>
    <w:rsid w:val="29926952"/>
    <w:rsid w:val="29A000FB"/>
    <w:rsid w:val="29AF031D"/>
    <w:rsid w:val="29B43850"/>
    <w:rsid w:val="29C20545"/>
    <w:rsid w:val="29D162D2"/>
    <w:rsid w:val="29D446E0"/>
    <w:rsid w:val="29F12369"/>
    <w:rsid w:val="2A37753A"/>
    <w:rsid w:val="2A404749"/>
    <w:rsid w:val="2A4775DA"/>
    <w:rsid w:val="2A4E7200"/>
    <w:rsid w:val="2A642431"/>
    <w:rsid w:val="2A68552B"/>
    <w:rsid w:val="2A6D4BBA"/>
    <w:rsid w:val="2A6E08F9"/>
    <w:rsid w:val="2A7F7BAD"/>
    <w:rsid w:val="2ABD72FC"/>
    <w:rsid w:val="2ACF3EEC"/>
    <w:rsid w:val="2ADC7E6C"/>
    <w:rsid w:val="2AF32CB1"/>
    <w:rsid w:val="2B036E4E"/>
    <w:rsid w:val="2B342B1D"/>
    <w:rsid w:val="2B4512C5"/>
    <w:rsid w:val="2B483312"/>
    <w:rsid w:val="2B6C6D7B"/>
    <w:rsid w:val="2B8D4E34"/>
    <w:rsid w:val="2B9B3349"/>
    <w:rsid w:val="2BA62679"/>
    <w:rsid w:val="2BD317D0"/>
    <w:rsid w:val="2BE3588C"/>
    <w:rsid w:val="2BED7083"/>
    <w:rsid w:val="2C002405"/>
    <w:rsid w:val="2C0847CD"/>
    <w:rsid w:val="2C0857BD"/>
    <w:rsid w:val="2C183C58"/>
    <w:rsid w:val="2C2A381F"/>
    <w:rsid w:val="2C420AE5"/>
    <w:rsid w:val="2C5D518E"/>
    <w:rsid w:val="2C791BC6"/>
    <w:rsid w:val="2C8574EB"/>
    <w:rsid w:val="2C9E44A6"/>
    <w:rsid w:val="2CCF0721"/>
    <w:rsid w:val="2CE53636"/>
    <w:rsid w:val="2CF977B0"/>
    <w:rsid w:val="2D071453"/>
    <w:rsid w:val="2D1F5F28"/>
    <w:rsid w:val="2D323750"/>
    <w:rsid w:val="2D531A8F"/>
    <w:rsid w:val="2D8665A7"/>
    <w:rsid w:val="2D9B7E47"/>
    <w:rsid w:val="2DC410BA"/>
    <w:rsid w:val="2DCF7387"/>
    <w:rsid w:val="2DE40DF4"/>
    <w:rsid w:val="2DF550AA"/>
    <w:rsid w:val="2E004453"/>
    <w:rsid w:val="2E2B7019"/>
    <w:rsid w:val="2E422940"/>
    <w:rsid w:val="2E5E37DD"/>
    <w:rsid w:val="2EA461FB"/>
    <w:rsid w:val="2EA6049B"/>
    <w:rsid w:val="2EAF438B"/>
    <w:rsid w:val="2EBE5A96"/>
    <w:rsid w:val="2EFF45E0"/>
    <w:rsid w:val="2EFF6E3C"/>
    <w:rsid w:val="2F054CDA"/>
    <w:rsid w:val="2F102064"/>
    <w:rsid w:val="2F121983"/>
    <w:rsid w:val="2F151F35"/>
    <w:rsid w:val="2F4B65F6"/>
    <w:rsid w:val="2F4B7181"/>
    <w:rsid w:val="2F5B7967"/>
    <w:rsid w:val="2F786947"/>
    <w:rsid w:val="2FB160CE"/>
    <w:rsid w:val="2FB53E3E"/>
    <w:rsid w:val="2FB64AB7"/>
    <w:rsid w:val="2FD04782"/>
    <w:rsid w:val="2FD616B2"/>
    <w:rsid w:val="2FD97A65"/>
    <w:rsid w:val="2FDD5E37"/>
    <w:rsid w:val="2FED24A5"/>
    <w:rsid w:val="2FFF517C"/>
    <w:rsid w:val="300F78EC"/>
    <w:rsid w:val="30167D79"/>
    <w:rsid w:val="30654E3C"/>
    <w:rsid w:val="30736242"/>
    <w:rsid w:val="30877367"/>
    <w:rsid w:val="309F0474"/>
    <w:rsid w:val="30BE58B1"/>
    <w:rsid w:val="30D75E2B"/>
    <w:rsid w:val="30E6632B"/>
    <w:rsid w:val="30EE16AE"/>
    <w:rsid w:val="30F20ACE"/>
    <w:rsid w:val="31163A7E"/>
    <w:rsid w:val="3124480B"/>
    <w:rsid w:val="312549F1"/>
    <w:rsid w:val="313566C1"/>
    <w:rsid w:val="31636209"/>
    <w:rsid w:val="31642A54"/>
    <w:rsid w:val="31AA13D5"/>
    <w:rsid w:val="31EC16B3"/>
    <w:rsid w:val="31FF1464"/>
    <w:rsid w:val="322D2F4A"/>
    <w:rsid w:val="3253625C"/>
    <w:rsid w:val="325D00EB"/>
    <w:rsid w:val="326323F9"/>
    <w:rsid w:val="3292247F"/>
    <w:rsid w:val="329A11C3"/>
    <w:rsid w:val="32BA553B"/>
    <w:rsid w:val="32D42B87"/>
    <w:rsid w:val="32E90451"/>
    <w:rsid w:val="32FA6BE3"/>
    <w:rsid w:val="331C4357"/>
    <w:rsid w:val="332D21D8"/>
    <w:rsid w:val="333A4E82"/>
    <w:rsid w:val="33440FEE"/>
    <w:rsid w:val="33492C42"/>
    <w:rsid w:val="334D1E01"/>
    <w:rsid w:val="33511092"/>
    <w:rsid w:val="335E3E3F"/>
    <w:rsid w:val="335F0B53"/>
    <w:rsid w:val="335F2CC1"/>
    <w:rsid w:val="3383421F"/>
    <w:rsid w:val="33A10A8A"/>
    <w:rsid w:val="33B252D6"/>
    <w:rsid w:val="33C14182"/>
    <w:rsid w:val="33D03B1F"/>
    <w:rsid w:val="33D67C6F"/>
    <w:rsid w:val="33E81C02"/>
    <w:rsid w:val="33EB7A9A"/>
    <w:rsid w:val="33FF2A07"/>
    <w:rsid w:val="3414038B"/>
    <w:rsid w:val="34291509"/>
    <w:rsid w:val="343E6FAF"/>
    <w:rsid w:val="343F5051"/>
    <w:rsid w:val="344356CD"/>
    <w:rsid w:val="34445A5C"/>
    <w:rsid w:val="344567A9"/>
    <w:rsid w:val="34714951"/>
    <w:rsid w:val="347962F4"/>
    <w:rsid w:val="347C2125"/>
    <w:rsid w:val="3499394B"/>
    <w:rsid w:val="349A3260"/>
    <w:rsid w:val="34C171E2"/>
    <w:rsid w:val="34C840E9"/>
    <w:rsid w:val="34CD77B4"/>
    <w:rsid w:val="34E81760"/>
    <w:rsid w:val="34FA123B"/>
    <w:rsid w:val="35054C42"/>
    <w:rsid w:val="3520348C"/>
    <w:rsid w:val="352C19E9"/>
    <w:rsid w:val="356962C7"/>
    <w:rsid w:val="357C010A"/>
    <w:rsid w:val="3597426B"/>
    <w:rsid w:val="35AB3437"/>
    <w:rsid w:val="35B15E06"/>
    <w:rsid w:val="35D824C0"/>
    <w:rsid w:val="35E7120B"/>
    <w:rsid w:val="3605014B"/>
    <w:rsid w:val="360F33EE"/>
    <w:rsid w:val="360F768F"/>
    <w:rsid w:val="36347B1A"/>
    <w:rsid w:val="364B7675"/>
    <w:rsid w:val="366120E4"/>
    <w:rsid w:val="3665452C"/>
    <w:rsid w:val="368D3AEB"/>
    <w:rsid w:val="368E0242"/>
    <w:rsid w:val="36966586"/>
    <w:rsid w:val="36A6051E"/>
    <w:rsid w:val="36CA6FA1"/>
    <w:rsid w:val="36DA5B57"/>
    <w:rsid w:val="37083691"/>
    <w:rsid w:val="371D0516"/>
    <w:rsid w:val="37283DA3"/>
    <w:rsid w:val="3733444D"/>
    <w:rsid w:val="3740486F"/>
    <w:rsid w:val="37562B20"/>
    <w:rsid w:val="3761442C"/>
    <w:rsid w:val="376A5CE6"/>
    <w:rsid w:val="376F7783"/>
    <w:rsid w:val="377B71F5"/>
    <w:rsid w:val="37822166"/>
    <w:rsid w:val="37997559"/>
    <w:rsid w:val="379B095A"/>
    <w:rsid w:val="37AE4A95"/>
    <w:rsid w:val="37AE7F90"/>
    <w:rsid w:val="37B355F0"/>
    <w:rsid w:val="37CF4B69"/>
    <w:rsid w:val="38207388"/>
    <w:rsid w:val="3822259A"/>
    <w:rsid w:val="383B267E"/>
    <w:rsid w:val="386B380E"/>
    <w:rsid w:val="38B41030"/>
    <w:rsid w:val="38C13E1E"/>
    <w:rsid w:val="38C35693"/>
    <w:rsid w:val="38CE2BBB"/>
    <w:rsid w:val="38DD71FB"/>
    <w:rsid w:val="38FE5C2A"/>
    <w:rsid w:val="39247A74"/>
    <w:rsid w:val="39647643"/>
    <w:rsid w:val="39654833"/>
    <w:rsid w:val="396E453C"/>
    <w:rsid w:val="39717500"/>
    <w:rsid w:val="39A16ECA"/>
    <w:rsid w:val="39AA5CB3"/>
    <w:rsid w:val="39C272ED"/>
    <w:rsid w:val="39FA4695"/>
    <w:rsid w:val="3A0F25D0"/>
    <w:rsid w:val="3A160931"/>
    <w:rsid w:val="3A2626F0"/>
    <w:rsid w:val="3A446CDF"/>
    <w:rsid w:val="3A555334"/>
    <w:rsid w:val="3A600C68"/>
    <w:rsid w:val="3A60660E"/>
    <w:rsid w:val="3A6976E6"/>
    <w:rsid w:val="3AA907D4"/>
    <w:rsid w:val="3ABB41C2"/>
    <w:rsid w:val="3AC8332F"/>
    <w:rsid w:val="3ACD57DF"/>
    <w:rsid w:val="3ADB5B94"/>
    <w:rsid w:val="3ADB7005"/>
    <w:rsid w:val="3AE94DCD"/>
    <w:rsid w:val="3AF01512"/>
    <w:rsid w:val="3B0E618B"/>
    <w:rsid w:val="3B197F0E"/>
    <w:rsid w:val="3B276E44"/>
    <w:rsid w:val="3B4C6233"/>
    <w:rsid w:val="3B54139C"/>
    <w:rsid w:val="3B763ABD"/>
    <w:rsid w:val="3B961BE8"/>
    <w:rsid w:val="3BBB72F9"/>
    <w:rsid w:val="3BD2009F"/>
    <w:rsid w:val="3BF74D0A"/>
    <w:rsid w:val="3BFA70F4"/>
    <w:rsid w:val="3C082EA4"/>
    <w:rsid w:val="3C10067B"/>
    <w:rsid w:val="3C2F5239"/>
    <w:rsid w:val="3C387F10"/>
    <w:rsid w:val="3C4E58E9"/>
    <w:rsid w:val="3C4F64C4"/>
    <w:rsid w:val="3C6C27B7"/>
    <w:rsid w:val="3C6E2B7E"/>
    <w:rsid w:val="3C8630D7"/>
    <w:rsid w:val="3C8835F3"/>
    <w:rsid w:val="3CB90D68"/>
    <w:rsid w:val="3CCA2241"/>
    <w:rsid w:val="3CCB7DB8"/>
    <w:rsid w:val="3CDA589A"/>
    <w:rsid w:val="3CEA6BE2"/>
    <w:rsid w:val="3CF5054A"/>
    <w:rsid w:val="3D06664A"/>
    <w:rsid w:val="3D0F272C"/>
    <w:rsid w:val="3D2A15B6"/>
    <w:rsid w:val="3D2C21F0"/>
    <w:rsid w:val="3D5A6537"/>
    <w:rsid w:val="3D6023B7"/>
    <w:rsid w:val="3D646F89"/>
    <w:rsid w:val="3D6635D0"/>
    <w:rsid w:val="3D6D20DE"/>
    <w:rsid w:val="3D895DBF"/>
    <w:rsid w:val="3D902C0D"/>
    <w:rsid w:val="3DC14A1D"/>
    <w:rsid w:val="3DF96401"/>
    <w:rsid w:val="3E0F24C8"/>
    <w:rsid w:val="3E455633"/>
    <w:rsid w:val="3E582F7D"/>
    <w:rsid w:val="3E654E52"/>
    <w:rsid w:val="3E8072A2"/>
    <w:rsid w:val="3E925BB1"/>
    <w:rsid w:val="3EB219E2"/>
    <w:rsid w:val="3EBC3708"/>
    <w:rsid w:val="3EC42879"/>
    <w:rsid w:val="3ED107E5"/>
    <w:rsid w:val="3EDF3528"/>
    <w:rsid w:val="3EE64C4E"/>
    <w:rsid w:val="3F5433A7"/>
    <w:rsid w:val="3F955B54"/>
    <w:rsid w:val="3F9B33A7"/>
    <w:rsid w:val="3F9F0B6B"/>
    <w:rsid w:val="3FDE1DE6"/>
    <w:rsid w:val="3FF3738A"/>
    <w:rsid w:val="3FF45307"/>
    <w:rsid w:val="3FF55D83"/>
    <w:rsid w:val="40105BE0"/>
    <w:rsid w:val="401E1390"/>
    <w:rsid w:val="402F7D36"/>
    <w:rsid w:val="4048250D"/>
    <w:rsid w:val="404A38B4"/>
    <w:rsid w:val="405352F1"/>
    <w:rsid w:val="409C70FB"/>
    <w:rsid w:val="40A32263"/>
    <w:rsid w:val="40B24D53"/>
    <w:rsid w:val="40F602CD"/>
    <w:rsid w:val="410751CF"/>
    <w:rsid w:val="410B743A"/>
    <w:rsid w:val="41115A7E"/>
    <w:rsid w:val="411A0376"/>
    <w:rsid w:val="411B4056"/>
    <w:rsid w:val="411F01E8"/>
    <w:rsid w:val="411F7FBC"/>
    <w:rsid w:val="412D0B1D"/>
    <w:rsid w:val="41366C50"/>
    <w:rsid w:val="41470B6F"/>
    <w:rsid w:val="416B55E1"/>
    <w:rsid w:val="416C752D"/>
    <w:rsid w:val="416F3459"/>
    <w:rsid w:val="41782C63"/>
    <w:rsid w:val="41D36D67"/>
    <w:rsid w:val="41E7683F"/>
    <w:rsid w:val="420C0779"/>
    <w:rsid w:val="422F5AC3"/>
    <w:rsid w:val="422F6BC5"/>
    <w:rsid w:val="422F7340"/>
    <w:rsid w:val="4246558F"/>
    <w:rsid w:val="42545D52"/>
    <w:rsid w:val="429768F1"/>
    <w:rsid w:val="42AB3E1D"/>
    <w:rsid w:val="42AF06A6"/>
    <w:rsid w:val="42C70648"/>
    <w:rsid w:val="430669FC"/>
    <w:rsid w:val="431F0C25"/>
    <w:rsid w:val="432E6024"/>
    <w:rsid w:val="434F6087"/>
    <w:rsid w:val="434F7363"/>
    <w:rsid w:val="437B5D6D"/>
    <w:rsid w:val="439502CE"/>
    <w:rsid w:val="43A84A86"/>
    <w:rsid w:val="43B026FE"/>
    <w:rsid w:val="43DB5D1A"/>
    <w:rsid w:val="43EE30D0"/>
    <w:rsid w:val="442F0427"/>
    <w:rsid w:val="444D4454"/>
    <w:rsid w:val="44604692"/>
    <w:rsid w:val="44655E49"/>
    <w:rsid w:val="446D1DFC"/>
    <w:rsid w:val="44773DAC"/>
    <w:rsid w:val="44902A33"/>
    <w:rsid w:val="44A31E03"/>
    <w:rsid w:val="44D44BA7"/>
    <w:rsid w:val="44DD7BC5"/>
    <w:rsid w:val="44F36852"/>
    <w:rsid w:val="44F91DCE"/>
    <w:rsid w:val="450B2C76"/>
    <w:rsid w:val="455E1073"/>
    <w:rsid w:val="45650E24"/>
    <w:rsid w:val="45790DD3"/>
    <w:rsid w:val="4586795E"/>
    <w:rsid w:val="45C62303"/>
    <w:rsid w:val="45D040B9"/>
    <w:rsid w:val="45D869F8"/>
    <w:rsid w:val="45FC66A5"/>
    <w:rsid w:val="46075206"/>
    <w:rsid w:val="461C43D6"/>
    <w:rsid w:val="461F4737"/>
    <w:rsid w:val="462262A0"/>
    <w:rsid w:val="4659291A"/>
    <w:rsid w:val="46864992"/>
    <w:rsid w:val="46872977"/>
    <w:rsid w:val="469F01E1"/>
    <w:rsid w:val="46A07FB1"/>
    <w:rsid w:val="46AC64D8"/>
    <w:rsid w:val="46B71FE4"/>
    <w:rsid w:val="47125C07"/>
    <w:rsid w:val="47207382"/>
    <w:rsid w:val="47294706"/>
    <w:rsid w:val="472B649D"/>
    <w:rsid w:val="472B7472"/>
    <w:rsid w:val="473B1FC0"/>
    <w:rsid w:val="473E4891"/>
    <w:rsid w:val="474F3759"/>
    <w:rsid w:val="47903B36"/>
    <w:rsid w:val="479A4549"/>
    <w:rsid w:val="47C3454C"/>
    <w:rsid w:val="47F7042F"/>
    <w:rsid w:val="48111F79"/>
    <w:rsid w:val="4812682B"/>
    <w:rsid w:val="48142511"/>
    <w:rsid w:val="48472D3E"/>
    <w:rsid w:val="48472F1D"/>
    <w:rsid w:val="4855435F"/>
    <w:rsid w:val="486F6C9F"/>
    <w:rsid w:val="487017DE"/>
    <w:rsid w:val="48813BA2"/>
    <w:rsid w:val="48A10C30"/>
    <w:rsid w:val="48A5298F"/>
    <w:rsid w:val="48BE33B2"/>
    <w:rsid w:val="48C83722"/>
    <w:rsid w:val="48D41224"/>
    <w:rsid w:val="48E44E22"/>
    <w:rsid w:val="48E60E89"/>
    <w:rsid w:val="4915503E"/>
    <w:rsid w:val="492076FB"/>
    <w:rsid w:val="497A053F"/>
    <w:rsid w:val="4984787A"/>
    <w:rsid w:val="499634C5"/>
    <w:rsid w:val="499F6234"/>
    <w:rsid w:val="49A40004"/>
    <w:rsid w:val="49AC5D48"/>
    <w:rsid w:val="49D104F5"/>
    <w:rsid w:val="49D124EE"/>
    <w:rsid w:val="49E47E3E"/>
    <w:rsid w:val="4A0962EC"/>
    <w:rsid w:val="4A120EF3"/>
    <w:rsid w:val="4A1440CB"/>
    <w:rsid w:val="4A19694A"/>
    <w:rsid w:val="4A47658D"/>
    <w:rsid w:val="4A556AB2"/>
    <w:rsid w:val="4A5A383F"/>
    <w:rsid w:val="4A7378B7"/>
    <w:rsid w:val="4A742A84"/>
    <w:rsid w:val="4A804C86"/>
    <w:rsid w:val="4A857F7B"/>
    <w:rsid w:val="4AA31619"/>
    <w:rsid w:val="4AB04B82"/>
    <w:rsid w:val="4AB371AD"/>
    <w:rsid w:val="4AC115A1"/>
    <w:rsid w:val="4AC51D97"/>
    <w:rsid w:val="4AD52699"/>
    <w:rsid w:val="4B3052C0"/>
    <w:rsid w:val="4B5B7753"/>
    <w:rsid w:val="4B6B6513"/>
    <w:rsid w:val="4BA75F33"/>
    <w:rsid w:val="4BB543F8"/>
    <w:rsid w:val="4BC63ABA"/>
    <w:rsid w:val="4BD26EC9"/>
    <w:rsid w:val="4BE42A4E"/>
    <w:rsid w:val="4BE61DF7"/>
    <w:rsid w:val="4BEE4BF8"/>
    <w:rsid w:val="4C04299F"/>
    <w:rsid w:val="4C052BE6"/>
    <w:rsid w:val="4C0612FA"/>
    <w:rsid w:val="4C15219C"/>
    <w:rsid w:val="4C1703C0"/>
    <w:rsid w:val="4C3077E8"/>
    <w:rsid w:val="4C6F3A2B"/>
    <w:rsid w:val="4CF00B4A"/>
    <w:rsid w:val="4D183CE3"/>
    <w:rsid w:val="4D191FF6"/>
    <w:rsid w:val="4D1D68D1"/>
    <w:rsid w:val="4D4344D7"/>
    <w:rsid w:val="4D5C22A0"/>
    <w:rsid w:val="4D725259"/>
    <w:rsid w:val="4D7B597E"/>
    <w:rsid w:val="4DB32BE1"/>
    <w:rsid w:val="4DC501B6"/>
    <w:rsid w:val="4DD10CD9"/>
    <w:rsid w:val="4DE00F8D"/>
    <w:rsid w:val="4E0D7279"/>
    <w:rsid w:val="4E164305"/>
    <w:rsid w:val="4E396C69"/>
    <w:rsid w:val="4E3A40BF"/>
    <w:rsid w:val="4E526C9B"/>
    <w:rsid w:val="4E7E6245"/>
    <w:rsid w:val="4E9505A1"/>
    <w:rsid w:val="4E9A099F"/>
    <w:rsid w:val="4E9D572B"/>
    <w:rsid w:val="4EA311F8"/>
    <w:rsid w:val="4EB66DCA"/>
    <w:rsid w:val="4EBA006C"/>
    <w:rsid w:val="4ECE4E83"/>
    <w:rsid w:val="4ED01795"/>
    <w:rsid w:val="4ED83E5B"/>
    <w:rsid w:val="4ED95DDD"/>
    <w:rsid w:val="4EE56070"/>
    <w:rsid w:val="4F0306E8"/>
    <w:rsid w:val="4F051223"/>
    <w:rsid w:val="4F0C6F98"/>
    <w:rsid w:val="4F2A7A61"/>
    <w:rsid w:val="4F337FD5"/>
    <w:rsid w:val="4F371833"/>
    <w:rsid w:val="4F453E7B"/>
    <w:rsid w:val="4F6B4B32"/>
    <w:rsid w:val="4F7219A6"/>
    <w:rsid w:val="4F7E7F76"/>
    <w:rsid w:val="4F8C78CF"/>
    <w:rsid w:val="4FA113C5"/>
    <w:rsid w:val="4FA56150"/>
    <w:rsid w:val="4FD60D41"/>
    <w:rsid w:val="4FE32563"/>
    <w:rsid w:val="50017CE5"/>
    <w:rsid w:val="5014596B"/>
    <w:rsid w:val="5021417B"/>
    <w:rsid w:val="50245B7F"/>
    <w:rsid w:val="505652DC"/>
    <w:rsid w:val="506D75AB"/>
    <w:rsid w:val="50917C37"/>
    <w:rsid w:val="50A37174"/>
    <w:rsid w:val="50C2281F"/>
    <w:rsid w:val="50C65B01"/>
    <w:rsid w:val="50C7432F"/>
    <w:rsid w:val="50E0034C"/>
    <w:rsid w:val="50E55A44"/>
    <w:rsid w:val="50EA78F0"/>
    <w:rsid w:val="50F37C43"/>
    <w:rsid w:val="511E70B0"/>
    <w:rsid w:val="51242D25"/>
    <w:rsid w:val="5126276E"/>
    <w:rsid w:val="513E0A1A"/>
    <w:rsid w:val="51451E40"/>
    <w:rsid w:val="514B6890"/>
    <w:rsid w:val="51535C99"/>
    <w:rsid w:val="5154034B"/>
    <w:rsid w:val="515A3778"/>
    <w:rsid w:val="516C3696"/>
    <w:rsid w:val="51760E5F"/>
    <w:rsid w:val="517E7046"/>
    <w:rsid w:val="518E00FC"/>
    <w:rsid w:val="51933575"/>
    <w:rsid w:val="51B0168B"/>
    <w:rsid w:val="51C067CA"/>
    <w:rsid w:val="51DF5B25"/>
    <w:rsid w:val="51ED77D2"/>
    <w:rsid w:val="51F1167A"/>
    <w:rsid w:val="521049F0"/>
    <w:rsid w:val="526F7FB3"/>
    <w:rsid w:val="527243EB"/>
    <w:rsid w:val="52930E01"/>
    <w:rsid w:val="529665E6"/>
    <w:rsid w:val="52B06731"/>
    <w:rsid w:val="52B60382"/>
    <w:rsid w:val="52D23DBC"/>
    <w:rsid w:val="52DD343C"/>
    <w:rsid w:val="52F87D2A"/>
    <w:rsid w:val="52F90C1C"/>
    <w:rsid w:val="530B7793"/>
    <w:rsid w:val="5321353F"/>
    <w:rsid w:val="53222EE7"/>
    <w:rsid w:val="534D765A"/>
    <w:rsid w:val="53540114"/>
    <w:rsid w:val="535A33DA"/>
    <w:rsid w:val="536330FA"/>
    <w:rsid w:val="537970D0"/>
    <w:rsid w:val="539868E0"/>
    <w:rsid w:val="53A47969"/>
    <w:rsid w:val="53BF0089"/>
    <w:rsid w:val="53CE29D1"/>
    <w:rsid w:val="53D94E9F"/>
    <w:rsid w:val="53DB17B9"/>
    <w:rsid w:val="53E5129E"/>
    <w:rsid w:val="54057C58"/>
    <w:rsid w:val="541F1749"/>
    <w:rsid w:val="542C167C"/>
    <w:rsid w:val="54482DD1"/>
    <w:rsid w:val="5455474D"/>
    <w:rsid w:val="545B7AC0"/>
    <w:rsid w:val="54694DFB"/>
    <w:rsid w:val="546F29D4"/>
    <w:rsid w:val="54953F82"/>
    <w:rsid w:val="54C0542F"/>
    <w:rsid w:val="54D107E9"/>
    <w:rsid w:val="54E90BFD"/>
    <w:rsid w:val="54E96A18"/>
    <w:rsid w:val="54F56BB2"/>
    <w:rsid w:val="54FF61BE"/>
    <w:rsid w:val="55041307"/>
    <w:rsid w:val="551576AA"/>
    <w:rsid w:val="55212B67"/>
    <w:rsid w:val="552140EA"/>
    <w:rsid w:val="55226D5D"/>
    <w:rsid w:val="553111D9"/>
    <w:rsid w:val="556E3124"/>
    <w:rsid w:val="55766B43"/>
    <w:rsid w:val="55856D6F"/>
    <w:rsid w:val="558C043F"/>
    <w:rsid w:val="55A5580E"/>
    <w:rsid w:val="55AE03B4"/>
    <w:rsid w:val="55AE5676"/>
    <w:rsid w:val="55B82D7F"/>
    <w:rsid w:val="55E50ACF"/>
    <w:rsid w:val="56030522"/>
    <w:rsid w:val="560D5972"/>
    <w:rsid w:val="560E402E"/>
    <w:rsid w:val="561340C5"/>
    <w:rsid w:val="561E5DFF"/>
    <w:rsid w:val="563445A6"/>
    <w:rsid w:val="56417D7F"/>
    <w:rsid w:val="564B2284"/>
    <w:rsid w:val="564D6DB6"/>
    <w:rsid w:val="56593C87"/>
    <w:rsid w:val="56603854"/>
    <w:rsid w:val="56791F7B"/>
    <w:rsid w:val="56821236"/>
    <w:rsid w:val="568B2BB9"/>
    <w:rsid w:val="568B3F73"/>
    <w:rsid w:val="56B2171A"/>
    <w:rsid w:val="56EC370C"/>
    <w:rsid w:val="56F30601"/>
    <w:rsid w:val="57191EDF"/>
    <w:rsid w:val="57233DEA"/>
    <w:rsid w:val="5739000A"/>
    <w:rsid w:val="5745756B"/>
    <w:rsid w:val="57550187"/>
    <w:rsid w:val="576A4F6C"/>
    <w:rsid w:val="57781196"/>
    <w:rsid w:val="57790029"/>
    <w:rsid w:val="578879F4"/>
    <w:rsid w:val="578B66F5"/>
    <w:rsid w:val="57AD0601"/>
    <w:rsid w:val="57AF03E7"/>
    <w:rsid w:val="57BF1EB9"/>
    <w:rsid w:val="57E179DE"/>
    <w:rsid w:val="58147FB5"/>
    <w:rsid w:val="582A31CF"/>
    <w:rsid w:val="584B5D73"/>
    <w:rsid w:val="58695CD2"/>
    <w:rsid w:val="58773154"/>
    <w:rsid w:val="58A93D34"/>
    <w:rsid w:val="58B227FD"/>
    <w:rsid w:val="58B31895"/>
    <w:rsid w:val="58D10769"/>
    <w:rsid w:val="58F343AF"/>
    <w:rsid w:val="58F447CF"/>
    <w:rsid w:val="58F45B87"/>
    <w:rsid w:val="59030F12"/>
    <w:rsid w:val="590B0873"/>
    <w:rsid w:val="595E4CA8"/>
    <w:rsid w:val="596032B2"/>
    <w:rsid w:val="596E1588"/>
    <w:rsid w:val="598A148C"/>
    <w:rsid w:val="59A1345E"/>
    <w:rsid w:val="59C35227"/>
    <w:rsid w:val="59D07F49"/>
    <w:rsid w:val="59D15162"/>
    <w:rsid w:val="59F97C29"/>
    <w:rsid w:val="59FF2E55"/>
    <w:rsid w:val="5A326091"/>
    <w:rsid w:val="5A3327B9"/>
    <w:rsid w:val="5A443352"/>
    <w:rsid w:val="5A7051F2"/>
    <w:rsid w:val="5AA62FCE"/>
    <w:rsid w:val="5AAF49D1"/>
    <w:rsid w:val="5AC079AA"/>
    <w:rsid w:val="5ACB139C"/>
    <w:rsid w:val="5AD30371"/>
    <w:rsid w:val="5AF76D2D"/>
    <w:rsid w:val="5B005206"/>
    <w:rsid w:val="5B010B39"/>
    <w:rsid w:val="5B296D42"/>
    <w:rsid w:val="5B451FEF"/>
    <w:rsid w:val="5B48398F"/>
    <w:rsid w:val="5B48782C"/>
    <w:rsid w:val="5B492F9F"/>
    <w:rsid w:val="5B5733CF"/>
    <w:rsid w:val="5B634A59"/>
    <w:rsid w:val="5B686C87"/>
    <w:rsid w:val="5B727A30"/>
    <w:rsid w:val="5B7412EA"/>
    <w:rsid w:val="5B7F7608"/>
    <w:rsid w:val="5B9F7870"/>
    <w:rsid w:val="5BA94C3A"/>
    <w:rsid w:val="5BD2472B"/>
    <w:rsid w:val="5C12145B"/>
    <w:rsid w:val="5C353D5D"/>
    <w:rsid w:val="5C672B7B"/>
    <w:rsid w:val="5C6C4340"/>
    <w:rsid w:val="5C896A93"/>
    <w:rsid w:val="5CCA20E7"/>
    <w:rsid w:val="5CCC25C6"/>
    <w:rsid w:val="5CF00256"/>
    <w:rsid w:val="5D310147"/>
    <w:rsid w:val="5D311396"/>
    <w:rsid w:val="5D3E462A"/>
    <w:rsid w:val="5D3F0FE2"/>
    <w:rsid w:val="5D492DFF"/>
    <w:rsid w:val="5D88422D"/>
    <w:rsid w:val="5D965109"/>
    <w:rsid w:val="5DBA4CFB"/>
    <w:rsid w:val="5DBC5392"/>
    <w:rsid w:val="5DC52873"/>
    <w:rsid w:val="5DC707E3"/>
    <w:rsid w:val="5DD34B2A"/>
    <w:rsid w:val="5DE03DDF"/>
    <w:rsid w:val="5DF61D94"/>
    <w:rsid w:val="5E014DED"/>
    <w:rsid w:val="5E0C6F7F"/>
    <w:rsid w:val="5E125043"/>
    <w:rsid w:val="5E300533"/>
    <w:rsid w:val="5E3A3904"/>
    <w:rsid w:val="5E756789"/>
    <w:rsid w:val="5E9A6C52"/>
    <w:rsid w:val="5EAE4023"/>
    <w:rsid w:val="5ED701AB"/>
    <w:rsid w:val="5F046725"/>
    <w:rsid w:val="5F24793A"/>
    <w:rsid w:val="5F657D44"/>
    <w:rsid w:val="5F990E8A"/>
    <w:rsid w:val="5FB6646F"/>
    <w:rsid w:val="5FC73304"/>
    <w:rsid w:val="5FD86BAD"/>
    <w:rsid w:val="5FDA5E1F"/>
    <w:rsid w:val="5FE27189"/>
    <w:rsid w:val="5FE27E1D"/>
    <w:rsid w:val="5FE50020"/>
    <w:rsid w:val="5FE9458D"/>
    <w:rsid w:val="5FF21794"/>
    <w:rsid w:val="5FF83DE3"/>
    <w:rsid w:val="60006363"/>
    <w:rsid w:val="600E5B1E"/>
    <w:rsid w:val="603029C5"/>
    <w:rsid w:val="6042451C"/>
    <w:rsid w:val="60533814"/>
    <w:rsid w:val="60661241"/>
    <w:rsid w:val="60715F9E"/>
    <w:rsid w:val="609551E5"/>
    <w:rsid w:val="60A5404A"/>
    <w:rsid w:val="60B571CB"/>
    <w:rsid w:val="60B71BC5"/>
    <w:rsid w:val="60CB2D10"/>
    <w:rsid w:val="60DC4019"/>
    <w:rsid w:val="61030396"/>
    <w:rsid w:val="6105340B"/>
    <w:rsid w:val="61186716"/>
    <w:rsid w:val="613D0F83"/>
    <w:rsid w:val="61554566"/>
    <w:rsid w:val="616B370A"/>
    <w:rsid w:val="61990045"/>
    <w:rsid w:val="619F4562"/>
    <w:rsid w:val="61AE1F72"/>
    <w:rsid w:val="61B00F6F"/>
    <w:rsid w:val="61B2100A"/>
    <w:rsid w:val="61C06715"/>
    <w:rsid w:val="61CF26E5"/>
    <w:rsid w:val="61D40795"/>
    <w:rsid w:val="61DD322C"/>
    <w:rsid w:val="6217768B"/>
    <w:rsid w:val="622F66EC"/>
    <w:rsid w:val="624E459A"/>
    <w:rsid w:val="6270318F"/>
    <w:rsid w:val="627A0608"/>
    <w:rsid w:val="627F7CFF"/>
    <w:rsid w:val="62847752"/>
    <w:rsid w:val="62870684"/>
    <w:rsid w:val="6296380B"/>
    <w:rsid w:val="62A77984"/>
    <w:rsid w:val="62B05E13"/>
    <w:rsid w:val="62B061AF"/>
    <w:rsid w:val="62B66449"/>
    <w:rsid w:val="62CB7305"/>
    <w:rsid w:val="62D61655"/>
    <w:rsid w:val="62E0452A"/>
    <w:rsid w:val="62E73039"/>
    <w:rsid w:val="631E0FF7"/>
    <w:rsid w:val="63243DA9"/>
    <w:rsid w:val="632F00CB"/>
    <w:rsid w:val="63394DD9"/>
    <w:rsid w:val="63457CE2"/>
    <w:rsid w:val="636A1309"/>
    <w:rsid w:val="63790B64"/>
    <w:rsid w:val="638C0F42"/>
    <w:rsid w:val="639126EF"/>
    <w:rsid w:val="63AB153A"/>
    <w:rsid w:val="63AE3DDE"/>
    <w:rsid w:val="63C112B8"/>
    <w:rsid w:val="63C74EDF"/>
    <w:rsid w:val="63CA4F0E"/>
    <w:rsid w:val="63D76796"/>
    <w:rsid w:val="63E33D62"/>
    <w:rsid w:val="641D7575"/>
    <w:rsid w:val="64206E48"/>
    <w:rsid w:val="642342BD"/>
    <w:rsid w:val="64636766"/>
    <w:rsid w:val="64797B05"/>
    <w:rsid w:val="64821F8F"/>
    <w:rsid w:val="648900C6"/>
    <w:rsid w:val="649E5B09"/>
    <w:rsid w:val="64E06555"/>
    <w:rsid w:val="64F04276"/>
    <w:rsid w:val="64F15CFD"/>
    <w:rsid w:val="65106256"/>
    <w:rsid w:val="652A26ED"/>
    <w:rsid w:val="652A735E"/>
    <w:rsid w:val="652C79DC"/>
    <w:rsid w:val="65537538"/>
    <w:rsid w:val="65573DDF"/>
    <w:rsid w:val="655F4948"/>
    <w:rsid w:val="65AB050A"/>
    <w:rsid w:val="65B93DF7"/>
    <w:rsid w:val="65E21DB9"/>
    <w:rsid w:val="65E52F80"/>
    <w:rsid w:val="660E4854"/>
    <w:rsid w:val="662325A2"/>
    <w:rsid w:val="66436E06"/>
    <w:rsid w:val="665B56F4"/>
    <w:rsid w:val="66697C63"/>
    <w:rsid w:val="666C1579"/>
    <w:rsid w:val="6698528A"/>
    <w:rsid w:val="66D65C26"/>
    <w:rsid w:val="66EE7B3A"/>
    <w:rsid w:val="671431F4"/>
    <w:rsid w:val="673A557F"/>
    <w:rsid w:val="67422F6C"/>
    <w:rsid w:val="67485F78"/>
    <w:rsid w:val="675054FB"/>
    <w:rsid w:val="67525A04"/>
    <w:rsid w:val="67563FB5"/>
    <w:rsid w:val="67584694"/>
    <w:rsid w:val="67843B66"/>
    <w:rsid w:val="67A0135D"/>
    <w:rsid w:val="67AB132F"/>
    <w:rsid w:val="67B87A05"/>
    <w:rsid w:val="67BA7A04"/>
    <w:rsid w:val="67BB0B81"/>
    <w:rsid w:val="67E85CE8"/>
    <w:rsid w:val="68244B11"/>
    <w:rsid w:val="682B2C67"/>
    <w:rsid w:val="682D584D"/>
    <w:rsid w:val="683E76B7"/>
    <w:rsid w:val="68587729"/>
    <w:rsid w:val="68982117"/>
    <w:rsid w:val="689F0CAB"/>
    <w:rsid w:val="68AE6355"/>
    <w:rsid w:val="68AF125D"/>
    <w:rsid w:val="68D4190D"/>
    <w:rsid w:val="68D4276E"/>
    <w:rsid w:val="68ED6208"/>
    <w:rsid w:val="690D76D8"/>
    <w:rsid w:val="690F602E"/>
    <w:rsid w:val="691164BA"/>
    <w:rsid w:val="693C1D4F"/>
    <w:rsid w:val="693D530D"/>
    <w:rsid w:val="69517BF2"/>
    <w:rsid w:val="69DA2C7D"/>
    <w:rsid w:val="69DF27F8"/>
    <w:rsid w:val="6A014FCE"/>
    <w:rsid w:val="6A01727C"/>
    <w:rsid w:val="6A174B3C"/>
    <w:rsid w:val="6A4B72F5"/>
    <w:rsid w:val="6A4F649D"/>
    <w:rsid w:val="6A513A8D"/>
    <w:rsid w:val="6A616209"/>
    <w:rsid w:val="6A6538C2"/>
    <w:rsid w:val="6A9F6397"/>
    <w:rsid w:val="6AFD783A"/>
    <w:rsid w:val="6AFE46FE"/>
    <w:rsid w:val="6B336B46"/>
    <w:rsid w:val="6B3A79A6"/>
    <w:rsid w:val="6B496E29"/>
    <w:rsid w:val="6B5467DE"/>
    <w:rsid w:val="6B7B7AA0"/>
    <w:rsid w:val="6B8474E2"/>
    <w:rsid w:val="6B96158F"/>
    <w:rsid w:val="6B9751A0"/>
    <w:rsid w:val="6B9D2F4E"/>
    <w:rsid w:val="6BB57664"/>
    <w:rsid w:val="6BCA64D1"/>
    <w:rsid w:val="6C0F4DA3"/>
    <w:rsid w:val="6C153F69"/>
    <w:rsid w:val="6C3D18F9"/>
    <w:rsid w:val="6C4745BD"/>
    <w:rsid w:val="6C4D1F44"/>
    <w:rsid w:val="6C864E9C"/>
    <w:rsid w:val="6CAA5208"/>
    <w:rsid w:val="6CD57947"/>
    <w:rsid w:val="6CDB1E06"/>
    <w:rsid w:val="6CDE62FA"/>
    <w:rsid w:val="6CE749A6"/>
    <w:rsid w:val="6CEB3DE6"/>
    <w:rsid w:val="6CFB28A3"/>
    <w:rsid w:val="6D02094A"/>
    <w:rsid w:val="6D0A4910"/>
    <w:rsid w:val="6D7F55B3"/>
    <w:rsid w:val="6D855DD9"/>
    <w:rsid w:val="6D91463F"/>
    <w:rsid w:val="6D9363D6"/>
    <w:rsid w:val="6DAC3202"/>
    <w:rsid w:val="6DC1414C"/>
    <w:rsid w:val="6DC45F94"/>
    <w:rsid w:val="6DC71A5C"/>
    <w:rsid w:val="6DD5617B"/>
    <w:rsid w:val="6DDD4B9C"/>
    <w:rsid w:val="6DEC3D19"/>
    <w:rsid w:val="6DED70FE"/>
    <w:rsid w:val="6DF953D5"/>
    <w:rsid w:val="6DFE772A"/>
    <w:rsid w:val="6E011BA4"/>
    <w:rsid w:val="6E076C4B"/>
    <w:rsid w:val="6E09452D"/>
    <w:rsid w:val="6E2F3104"/>
    <w:rsid w:val="6E376660"/>
    <w:rsid w:val="6E3B7BEC"/>
    <w:rsid w:val="6E475D08"/>
    <w:rsid w:val="6E7A4F77"/>
    <w:rsid w:val="6E940672"/>
    <w:rsid w:val="6EBA22E3"/>
    <w:rsid w:val="6EC53A3E"/>
    <w:rsid w:val="6EED5376"/>
    <w:rsid w:val="6EED54E5"/>
    <w:rsid w:val="6EFC5612"/>
    <w:rsid w:val="6F0F53D8"/>
    <w:rsid w:val="6F1427BE"/>
    <w:rsid w:val="6F26517B"/>
    <w:rsid w:val="6F36710C"/>
    <w:rsid w:val="6F7560E5"/>
    <w:rsid w:val="6F7C6021"/>
    <w:rsid w:val="6F970583"/>
    <w:rsid w:val="6F9B2C5F"/>
    <w:rsid w:val="6FA82B17"/>
    <w:rsid w:val="6FC06400"/>
    <w:rsid w:val="6FCB4F5B"/>
    <w:rsid w:val="6FE51880"/>
    <w:rsid w:val="6FF56B8E"/>
    <w:rsid w:val="6FFB05DA"/>
    <w:rsid w:val="700E580E"/>
    <w:rsid w:val="701107B5"/>
    <w:rsid w:val="70134182"/>
    <w:rsid w:val="7022504B"/>
    <w:rsid w:val="702757C1"/>
    <w:rsid w:val="702D3692"/>
    <w:rsid w:val="70497584"/>
    <w:rsid w:val="705669C2"/>
    <w:rsid w:val="705B5374"/>
    <w:rsid w:val="705D7B36"/>
    <w:rsid w:val="70BF690E"/>
    <w:rsid w:val="70CF7B3E"/>
    <w:rsid w:val="70F047D5"/>
    <w:rsid w:val="710A53DF"/>
    <w:rsid w:val="712D1967"/>
    <w:rsid w:val="712F239F"/>
    <w:rsid w:val="71456326"/>
    <w:rsid w:val="71466FA0"/>
    <w:rsid w:val="714B1910"/>
    <w:rsid w:val="7178717A"/>
    <w:rsid w:val="719D1D3F"/>
    <w:rsid w:val="71CB12E6"/>
    <w:rsid w:val="71E42889"/>
    <w:rsid w:val="71E52DD1"/>
    <w:rsid w:val="71EE0736"/>
    <w:rsid w:val="72021223"/>
    <w:rsid w:val="72125E12"/>
    <w:rsid w:val="721E2D97"/>
    <w:rsid w:val="722345FB"/>
    <w:rsid w:val="723E5741"/>
    <w:rsid w:val="724C36DA"/>
    <w:rsid w:val="725211B1"/>
    <w:rsid w:val="72680DBD"/>
    <w:rsid w:val="726A21E4"/>
    <w:rsid w:val="726B62FC"/>
    <w:rsid w:val="72737CD5"/>
    <w:rsid w:val="7277466A"/>
    <w:rsid w:val="729A6AAA"/>
    <w:rsid w:val="72B12B8B"/>
    <w:rsid w:val="72BC5A2F"/>
    <w:rsid w:val="72D907C4"/>
    <w:rsid w:val="72EB0E0B"/>
    <w:rsid w:val="730C7574"/>
    <w:rsid w:val="731509BA"/>
    <w:rsid w:val="733B7B29"/>
    <w:rsid w:val="73596261"/>
    <w:rsid w:val="736571AF"/>
    <w:rsid w:val="73662D29"/>
    <w:rsid w:val="73741DFF"/>
    <w:rsid w:val="73785099"/>
    <w:rsid w:val="73887F8B"/>
    <w:rsid w:val="73897B6C"/>
    <w:rsid w:val="739917ED"/>
    <w:rsid w:val="73BA3745"/>
    <w:rsid w:val="73BD4086"/>
    <w:rsid w:val="73C739B0"/>
    <w:rsid w:val="73CA4CF6"/>
    <w:rsid w:val="73D11F47"/>
    <w:rsid w:val="741A2D4E"/>
    <w:rsid w:val="744C4BE5"/>
    <w:rsid w:val="745C3654"/>
    <w:rsid w:val="74667882"/>
    <w:rsid w:val="74C1353B"/>
    <w:rsid w:val="74CE3552"/>
    <w:rsid w:val="751477FD"/>
    <w:rsid w:val="7528773F"/>
    <w:rsid w:val="753E65D1"/>
    <w:rsid w:val="75414019"/>
    <w:rsid w:val="75661EE8"/>
    <w:rsid w:val="757856D7"/>
    <w:rsid w:val="75D554AE"/>
    <w:rsid w:val="760C4A2D"/>
    <w:rsid w:val="761922BE"/>
    <w:rsid w:val="766A0BBA"/>
    <w:rsid w:val="76854F78"/>
    <w:rsid w:val="76A052D7"/>
    <w:rsid w:val="76C5453C"/>
    <w:rsid w:val="76D75B00"/>
    <w:rsid w:val="76E4575D"/>
    <w:rsid w:val="76E86081"/>
    <w:rsid w:val="772A0F86"/>
    <w:rsid w:val="7738447C"/>
    <w:rsid w:val="77431C88"/>
    <w:rsid w:val="775300AC"/>
    <w:rsid w:val="77617EDD"/>
    <w:rsid w:val="779A76AE"/>
    <w:rsid w:val="77C619E6"/>
    <w:rsid w:val="77F13906"/>
    <w:rsid w:val="77FD70F5"/>
    <w:rsid w:val="77FE644C"/>
    <w:rsid w:val="78343942"/>
    <w:rsid w:val="78420E5E"/>
    <w:rsid w:val="784518F9"/>
    <w:rsid w:val="784E154C"/>
    <w:rsid w:val="78623B2D"/>
    <w:rsid w:val="78695B62"/>
    <w:rsid w:val="787F6091"/>
    <w:rsid w:val="78A54577"/>
    <w:rsid w:val="78A903DF"/>
    <w:rsid w:val="78AC3447"/>
    <w:rsid w:val="78BE6B1C"/>
    <w:rsid w:val="78C94406"/>
    <w:rsid w:val="78D4185D"/>
    <w:rsid w:val="78DF7871"/>
    <w:rsid w:val="793301B8"/>
    <w:rsid w:val="793C65A9"/>
    <w:rsid w:val="795118DD"/>
    <w:rsid w:val="79657AEB"/>
    <w:rsid w:val="796F42C3"/>
    <w:rsid w:val="79966DE4"/>
    <w:rsid w:val="79A35616"/>
    <w:rsid w:val="79AC11A3"/>
    <w:rsid w:val="79C16755"/>
    <w:rsid w:val="79C51078"/>
    <w:rsid w:val="79CC0A1D"/>
    <w:rsid w:val="79DC7790"/>
    <w:rsid w:val="79E06D4C"/>
    <w:rsid w:val="79F77823"/>
    <w:rsid w:val="79FC693F"/>
    <w:rsid w:val="7A015546"/>
    <w:rsid w:val="7A0C7AA3"/>
    <w:rsid w:val="7A254CA6"/>
    <w:rsid w:val="7A2F4DE4"/>
    <w:rsid w:val="7A7372F8"/>
    <w:rsid w:val="7A8658E7"/>
    <w:rsid w:val="7A8931BF"/>
    <w:rsid w:val="7A946822"/>
    <w:rsid w:val="7AB47212"/>
    <w:rsid w:val="7ABD7B55"/>
    <w:rsid w:val="7AD154C8"/>
    <w:rsid w:val="7AF909E7"/>
    <w:rsid w:val="7B214A78"/>
    <w:rsid w:val="7B247D28"/>
    <w:rsid w:val="7B2573B3"/>
    <w:rsid w:val="7B3B40A0"/>
    <w:rsid w:val="7B4B75D8"/>
    <w:rsid w:val="7B575BC7"/>
    <w:rsid w:val="7B822AE3"/>
    <w:rsid w:val="7B8E55ED"/>
    <w:rsid w:val="7B982DB4"/>
    <w:rsid w:val="7B9B0884"/>
    <w:rsid w:val="7BAC091D"/>
    <w:rsid w:val="7BB5605E"/>
    <w:rsid w:val="7BC42C68"/>
    <w:rsid w:val="7BDF2A2B"/>
    <w:rsid w:val="7BE92E7F"/>
    <w:rsid w:val="7C09434E"/>
    <w:rsid w:val="7C2101F7"/>
    <w:rsid w:val="7C285416"/>
    <w:rsid w:val="7C497A06"/>
    <w:rsid w:val="7C657F71"/>
    <w:rsid w:val="7C7F473E"/>
    <w:rsid w:val="7CED4C31"/>
    <w:rsid w:val="7CF72C09"/>
    <w:rsid w:val="7D022925"/>
    <w:rsid w:val="7D2F77F9"/>
    <w:rsid w:val="7D646B4D"/>
    <w:rsid w:val="7DA16514"/>
    <w:rsid w:val="7DAC19B8"/>
    <w:rsid w:val="7DD9435F"/>
    <w:rsid w:val="7DDC3759"/>
    <w:rsid w:val="7DFE2F37"/>
    <w:rsid w:val="7E326906"/>
    <w:rsid w:val="7E4C606C"/>
    <w:rsid w:val="7E6A4968"/>
    <w:rsid w:val="7E930FC7"/>
    <w:rsid w:val="7EA32BB3"/>
    <w:rsid w:val="7EB52B5C"/>
    <w:rsid w:val="7EF532DE"/>
    <w:rsid w:val="7EFB5CA2"/>
    <w:rsid w:val="7F0F0B9D"/>
    <w:rsid w:val="7F162709"/>
    <w:rsid w:val="7F1C59F2"/>
    <w:rsid w:val="7F27274E"/>
    <w:rsid w:val="7F2C40CC"/>
    <w:rsid w:val="7F624F8C"/>
    <w:rsid w:val="7F796C6B"/>
    <w:rsid w:val="7F7C6FB9"/>
    <w:rsid w:val="7F8E4C95"/>
    <w:rsid w:val="7FB11CCC"/>
    <w:rsid w:val="7FC83EF7"/>
    <w:rsid w:val="7FD050B5"/>
    <w:rsid w:val="7FE80210"/>
    <w:rsid w:val="7FEB2E34"/>
    <w:rsid w:val="7FEC735E"/>
    <w:rsid w:val="7FEE09E8"/>
    <w:rsid w:val="7FF5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7">
    <w:name w:val="heading 4"/>
    <w:basedOn w:val="1"/>
    <w:next w:val="1"/>
    <w:qFormat/>
    <w:uiPriority w:val="0"/>
    <w:pPr>
      <w:keepNext/>
      <w:keepLines/>
      <w:spacing w:before="280" w:after="290" w:line="400" w:lineRule="exact"/>
      <w:ind w:left="862" w:hanging="862"/>
      <w:outlineLvl w:val="3"/>
    </w:pPr>
    <w:rPr>
      <w:rFonts w:ascii="Calibri Light" w:hAnsi="Calibri Light" w:eastAsia="宋体" w:cs="Times New Roman"/>
      <w:b/>
      <w:bCs/>
      <w:szCs w:val="28"/>
    </w:rPr>
  </w:style>
  <w:style w:type="paragraph" w:styleId="8">
    <w:name w:val="heading 5"/>
    <w:basedOn w:val="1"/>
    <w:next w:val="1"/>
    <w:unhideWhenUsed/>
    <w:qFormat/>
    <w:uiPriority w:val="0"/>
    <w:pPr>
      <w:keepNext/>
      <w:keepLines/>
      <w:numPr>
        <w:ilvl w:val="4"/>
        <w:numId w:val="1"/>
      </w:numPr>
      <w:spacing w:before="280" w:after="290" w:line="376" w:lineRule="auto"/>
      <w:outlineLvl w:val="4"/>
    </w:pPr>
    <w:rPr>
      <w:rFonts w:ascii="黑体" w:hAnsi="黑体" w:eastAsia="黑体" w:cstheme="majorEastAsia"/>
      <w:b/>
      <w:bCs/>
    </w:rPr>
  </w:style>
  <w:style w:type="paragraph" w:styleId="9">
    <w:name w:val="heading 6"/>
    <w:basedOn w:val="1"/>
    <w:next w:val="1"/>
    <w:qFormat/>
    <w:uiPriority w:val="0"/>
    <w:pPr>
      <w:keepNext/>
      <w:keepLines/>
      <w:numPr>
        <w:ilvl w:val="5"/>
        <w:numId w:val="2"/>
      </w:numPr>
      <w:spacing w:before="240" w:after="64" w:line="320" w:lineRule="auto"/>
      <w:outlineLvl w:val="5"/>
    </w:pPr>
    <w:rPr>
      <w:rFonts w:ascii="黑体" w:hAnsi="黑体" w:eastAsia="黑体" w:cs="黑体"/>
      <w:bCs/>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pPr>
  </w:style>
  <w:style w:type="paragraph" w:styleId="3">
    <w:name w:val="Body Text Indent"/>
    <w:basedOn w:val="1"/>
    <w:semiHidden/>
    <w:unhideWhenUsed/>
    <w:qFormat/>
    <w:uiPriority w:val="99"/>
    <w:pPr>
      <w:spacing w:after="120"/>
      <w:ind w:left="420" w:leftChars="200"/>
    </w:p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szCs w:val="20"/>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Default"/>
    <w:qFormat/>
    <w:uiPriority w:val="0"/>
    <w:pPr>
      <w:widowControl w:val="0"/>
      <w:autoSpaceDE w:val="0"/>
      <w:autoSpaceDN w:val="0"/>
      <w:adjustRightInd w:val="0"/>
    </w:pPr>
    <w:rPr>
      <w:rFonts w:ascii="宋体" w:hAnsi="宋体" w:cs="宋体" w:eastAsiaTheme="minorEastAsia"/>
      <w:color w:val="000000"/>
      <w:kern w:val="2"/>
      <w:sz w:val="24"/>
      <w:szCs w:val="24"/>
      <w:lang w:val="en-US" w:eastAsia="zh-CN" w:bidi="ar-SA"/>
    </w:rPr>
  </w:style>
  <w:style w:type="paragraph" w:customStyle="1" w:styleId="21">
    <w:name w:val="_标题1"/>
    <w:basedOn w:val="4"/>
    <w:next w:val="1"/>
    <w:qFormat/>
    <w:uiPriority w:val="0"/>
    <w:pPr>
      <w:pageBreakBefore/>
      <w:widowControl/>
      <w:numPr>
        <w:ilvl w:val="0"/>
        <w:numId w:val="3"/>
      </w:numPr>
      <w:spacing w:line="576" w:lineRule="auto"/>
      <w:jc w:val="center"/>
    </w:pPr>
    <w:rPr>
      <w:rFonts w:ascii="Arial" w:hAnsi="Arial" w:eastAsia="黑体" w:cs="宋体"/>
      <w:b w:val="0"/>
    </w:rPr>
  </w:style>
  <w:style w:type="paragraph" w:customStyle="1" w:styleId="22">
    <w:name w:val="_标题2"/>
    <w:basedOn w:val="5"/>
    <w:next w:val="1"/>
    <w:qFormat/>
    <w:uiPriority w:val="0"/>
    <w:pPr>
      <w:widowControl/>
      <w:numPr>
        <w:ilvl w:val="1"/>
        <w:numId w:val="3"/>
      </w:numPr>
      <w:spacing w:line="360" w:lineRule="auto"/>
      <w:jc w:val="left"/>
    </w:pPr>
    <w:rPr>
      <w:rFonts w:ascii="Arial" w:hAnsi="Arial" w:eastAsia="黑体" w:cs="宋体"/>
      <w:b w:val="0"/>
      <w:kern w:val="0"/>
    </w:rPr>
  </w:style>
  <w:style w:type="paragraph" w:customStyle="1" w:styleId="23">
    <w:name w:val="_标题3"/>
    <w:basedOn w:val="6"/>
    <w:next w:val="1"/>
    <w:qFormat/>
    <w:uiPriority w:val="0"/>
    <w:pPr>
      <w:widowControl/>
      <w:numPr>
        <w:ilvl w:val="2"/>
        <w:numId w:val="3"/>
      </w:numPr>
      <w:adjustRightInd w:val="0"/>
      <w:snapToGrid w:val="0"/>
      <w:spacing w:before="60" w:after="60" w:line="360" w:lineRule="auto"/>
    </w:pPr>
    <w:rPr>
      <w:rFonts w:ascii="Arial" w:hAnsi="Arial" w:eastAsia="黑体" w:cs="宋体"/>
      <w:b w:val="0"/>
      <w:sz w:val="30"/>
    </w:rPr>
  </w:style>
  <w:style w:type="paragraph" w:customStyle="1" w:styleId="24">
    <w:name w:val="FC正文"/>
    <w:basedOn w:val="1"/>
    <w:qFormat/>
    <w:uiPriority w:val="0"/>
    <w:pPr>
      <w:snapToGrid w:val="0"/>
      <w:spacing w:before="50" w:beforeLines="50" w:after="50" w:afterLines="50"/>
      <w:ind w:firstLine="200" w:firstLineChars="200"/>
      <w:contextualSpacing/>
    </w:pPr>
    <w:rPr>
      <w:rFonts w:ascii="宋体" w:hAnsi="宋体" w:eastAsia="宋体" w:cs="宋体"/>
      <w:szCs w:val="21"/>
    </w:rPr>
  </w:style>
  <w:style w:type="paragraph" w:customStyle="1" w:styleId="2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6">
    <w:name w:val="页眉 字符"/>
    <w:basedOn w:val="15"/>
    <w:link w:val="13"/>
    <w:qFormat/>
    <w:uiPriority w:val="0"/>
    <w:rPr>
      <w:rFonts w:asciiTheme="minorHAnsi" w:hAnsiTheme="minorHAnsi" w:eastAsiaTheme="minorEastAsia" w:cstheme="minorBidi"/>
      <w:kern w:val="2"/>
      <w:sz w:val="18"/>
      <w:szCs w:val="18"/>
    </w:rPr>
  </w:style>
  <w:style w:type="character" w:customStyle="1" w:styleId="27">
    <w:name w:val="页脚 字符"/>
    <w:basedOn w:val="15"/>
    <w:link w:val="12"/>
    <w:qFormat/>
    <w:uiPriority w:val="0"/>
    <w:rPr>
      <w:rFonts w:asciiTheme="minorHAnsi" w:hAnsiTheme="minorHAnsi" w:eastAsiaTheme="minorEastAsia" w:cstheme="minorBidi"/>
      <w:kern w:val="2"/>
      <w:sz w:val="18"/>
      <w:szCs w:val="18"/>
    </w:rPr>
  </w:style>
  <w:style w:type="paragraph" w:customStyle="1" w:styleId="28">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9">
    <w:name w:val="font61"/>
    <w:basedOn w:val="15"/>
    <w:qFormat/>
    <w:uiPriority w:val="0"/>
    <w:rPr>
      <w:rFonts w:hint="eastAsia" w:ascii="宋体" w:hAnsi="宋体" w:eastAsia="宋体" w:cs="宋体"/>
      <w:color w:val="000000"/>
      <w:sz w:val="21"/>
      <w:szCs w:val="21"/>
      <w:u w:val="none"/>
    </w:rPr>
  </w:style>
  <w:style w:type="character" w:customStyle="1" w:styleId="30">
    <w:name w:val="font51"/>
    <w:basedOn w:val="15"/>
    <w:qFormat/>
    <w:uiPriority w:val="0"/>
    <w:rPr>
      <w:rFonts w:hint="eastAsia" w:ascii="宋体" w:hAnsi="宋体" w:eastAsia="宋体" w:cs="宋体"/>
      <w:color w:val="FF0000"/>
      <w:sz w:val="21"/>
      <w:szCs w:val="21"/>
      <w:u w:val="none"/>
    </w:rPr>
  </w:style>
  <w:style w:type="character" w:customStyle="1" w:styleId="31">
    <w:name w:val="font71"/>
    <w:basedOn w:val="15"/>
    <w:qFormat/>
    <w:uiPriority w:val="0"/>
    <w:rPr>
      <w:rFonts w:hint="eastAsia" w:ascii="宋体" w:hAnsi="宋体" w:eastAsia="宋体" w:cs="宋体"/>
      <w:color w:val="000000"/>
      <w:sz w:val="20"/>
      <w:szCs w:val="20"/>
      <w:u w:val="none"/>
    </w:rPr>
  </w:style>
  <w:style w:type="character" w:customStyle="1" w:styleId="32">
    <w:name w:val="font01"/>
    <w:basedOn w:val="15"/>
    <w:qFormat/>
    <w:uiPriority w:val="0"/>
    <w:rPr>
      <w:rFonts w:hint="eastAsia" w:ascii="宋体" w:hAnsi="宋体" w:eastAsia="宋体" w:cs="宋体"/>
      <w:color w:val="FF0000"/>
      <w:sz w:val="20"/>
      <w:szCs w:val="20"/>
      <w:u w:val="none"/>
    </w:rPr>
  </w:style>
  <w:style w:type="paragraph" w:customStyle="1" w:styleId="3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10731</Words>
  <Characters>11252</Characters>
  <Lines>89</Lines>
  <Paragraphs>25</Paragraphs>
  <TotalTime>1</TotalTime>
  <ScaleCrop>false</ScaleCrop>
  <LinksUpToDate>false</LinksUpToDate>
  <CharactersWithSpaces>11313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2023-02-22T08:34:00Z</dcterms:created>
  <dc:creator>linx</dc:creator>
  <cp:lastModifiedBy>林昕</cp:lastModifiedBy>
  <cp:lastPrinted>2023-02-24T01:53:00Z</cp:lastPrinted>
  <dcterms:modified xsi:type="dcterms:W3CDTF">2023-09-11T09:32:38Z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88161CD715C844CBB9CE7511A3C517C5</vt:lpwstr>
  </property>
</Properties>
</file>