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仿宋简体"/>
        </w:rPr>
      </w:pPr>
      <w:bookmarkStart w:id="0" w:name="_Toc498001357"/>
      <w:bookmarkStart w:id="1" w:name="_Toc498001258"/>
    </w:p>
    <w:p>
      <w:pPr>
        <w:spacing w:line="240" w:lineRule="auto"/>
        <w:jc w:val="both"/>
        <w:rPr>
          <w:rFonts w:hint="eastAsia" w:ascii="方正小标宋简体" w:eastAsia="方正小标宋简体"/>
          <w:spacing w:val="157"/>
          <w:kern w:val="0"/>
          <w:sz w:val="84"/>
          <w:szCs w:val="84"/>
        </w:rPr>
      </w:pPr>
    </w:p>
    <w:p>
      <w:pPr>
        <w:spacing w:line="240" w:lineRule="auto"/>
        <w:jc w:val="center"/>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采</w:t>
      </w:r>
    </w:p>
    <w:p>
      <w:pPr>
        <w:spacing w:line="240" w:lineRule="auto"/>
        <w:jc w:val="center"/>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购</w:t>
      </w:r>
    </w:p>
    <w:p>
      <w:pPr>
        <w:spacing w:line="240" w:lineRule="auto"/>
        <w:jc w:val="center"/>
        <w:rPr>
          <w:rFonts w:hint="eastAsia" w:ascii="方正小标宋简体" w:eastAsia="方正小标宋简体"/>
          <w:spacing w:val="157"/>
          <w:kern w:val="0"/>
          <w:sz w:val="100"/>
          <w:szCs w:val="100"/>
        </w:rPr>
      </w:pPr>
      <w:r>
        <w:rPr>
          <w:rFonts w:hint="eastAsia" w:ascii="方正小标宋简体" w:eastAsia="方正小标宋简体"/>
          <w:spacing w:val="157"/>
          <w:kern w:val="0"/>
          <w:sz w:val="100"/>
          <w:szCs w:val="100"/>
        </w:rPr>
        <w:t>文</w:t>
      </w:r>
    </w:p>
    <w:p>
      <w:pPr>
        <w:spacing w:line="240" w:lineRule="auto"/>
        <w:jc w:val="center"/>
        <w:rPr>
          <w:rFonts w:hint="eastAsia" w:ascii="方正小标宋简体" w:eastAsia="方正小标宋简体"/>
          <w:sz w:val="84"/>
          <w:szCs w:val="84"/>
        </w:rPr>
      </w:pPr>
      <w:r>
        <w:rPr>
          <w:rFonts w:hint="eastAsia" w:ascii="方正小标宋简体" w:eastAsia="方正小标宋简体"/>
          <w:spacing w:val="157"/>
          <w:kern w:val="0"/>
          <w:sz w:val="100"/>
          <w:szCs w:val="100"/>
        </w:rPr>
        <w:t>件</w:t>
      </w:r>
    </w:p>
    <w:p>
      <w:pPr>
        <w:spacing w:line="514" w:lineRule="exact"/>
        <w:rPr>
          <w:rFonts w:hint="eastAsia" w:eastAsia="黑体" w:cs="黑体"/>
          <w:szCs w:val="32"/>
        </w:rPr>
      </w:pPr>
      <w:r>
        <w:rPr>
          <w:rFonts w:ascii="宋体" w:hAnsi="宋体" w:eastAsia="宋体"/>
          <w:b/>
          <w:color w:val="000000"/>
          <w:sz w:val="24"/>
        </w:rPr>
        <w:br w:type="page"/>
      </w:r>
      <w:bookmarkEnd w:id="0"/>
      <w:bookmarkEnd w:id="1"/>
      <w:r>
        <w:rPr>
          <w:rFonts w:hint="eastAsia" w:ascii="宋体" w:hAnsi="宋体" w:eastAsia="宋体"/>
          <w:b/>
          <w:color w:val="000000"/>
          <w:sz w:val="24"/>
        </w:rPr>
        <w:t xml:space="preserve"> </w:t>
      </w:r>
      <w:r>
        <w:rPr>
          <w:rFonts w:hint="eastAsia" w:eastAsia="黑体" w:cs="黑体"/>
          <w:b/>
          <w:color w:val="000000"/>
          <w:sz w:val="24"/>
        </w:rPr>
        <w:t xml:space="preserve"> </w:t>
      </w:r>
      <w:r>
        <w:rPr>
          <w:rFonts w:hint="eastAsia" w:eastAsia="黑体" w:cs="黑体"/>
          <w:szCs w:val="32"/>
        </w:rPr>
        <w:t>一、项目说明</w:t>
      </w:r>
    </w:p>
    <w:p>
      <w:pPr>
        <w:spacing w:line="520" w:lineRule="exact"/>
        <w:ind w:firstLine="643" w:firstLineChars="200"/>
        <w:rPr>
          <w:rFonts w:hint="eastAsia" w:ascii="仿宋" w:hAnsi="仿宋" w:eastAsia="仿宋" w:cs="仿宋_GB2312"/>
          <w:szCs w:val="32"/>
        </w:rPr>
      </w:pPr>
      <w:r>
        <w:rPr>
          <w:rFonts w:hint="eastAsia" w:ascii="楷体" w:hAnsi="楷体" w:eastAsia="楷体" w:cs="楷体"/>
          <w:b/>
          <w:bCs/>
          <w:szCs w:val="32"/>
        </w:rPr>
        <w:t>（一）项目名称：</w:t>
      </w:r>
      <w:r>
        <w:rPr>
          <w:rFonts w:hint="eastAsia" w:ascii="仿宋_GB2312" w:hAnsi="仿宋_GB2312" w:eastAsia="仿宋_GB2312" w:cs="仿宋_GB2312"/>
          <w:szCs w:val="32"/>
          <w:lang w:val="en-US" w:eastAsia="zh-CN"/>
        </w:rPr>
        <w:t>福建地理标志媒体推广服务</w:t>
      </w:r>
      <w:r>
        <w:rPr>
          <w:rFonts w:hint="eastAsia" w:ascii="仿宋_GB2312" w:hAnsi="仿宋_GB2312" w:eastAsia="仿宋_GB2312" w:cs="仿宋_GB2312"/>
          <w:szCs w:val="32"/>
        </w:rPr>
        <w:t>项目</w:t>
      </w:r>
    </w:p>
    <w:p>
      <w:pPr>
        <w:spacing w:line="514" w:lineRule="exact"/>
        <w:ind w:firstLine="643" w:firstLineChars="200"/>
        <w:rPr>
          <w:rFonts w:hint="eastAsia" w:ascii="楷体" w:hAnsi="楷体" w:eastAsia="楷体" w:cs="楷体"/>
          <w:b/>
          <w:bCs/>
          <w:szCs w:val="32"/>
        </w:rPr>
      </w:pPr>
      <w:bookmarkStart w:id="2" w:name="_Toc498001259"/>
      <w:bookmarkStart w:id="3" w:name="_Toc498001358"/>
      <w:r>
        <w:rPr>
          <w:rFonts w:hint="eastAsia" w:ascii="楷体" w:hAnsi="楷体" w:eastAsia="楷体" w:cs="楷体"/>
          <w:b/>
          <w:bCs/>
          <w:szCs w:val="32"/>
        </w:rPr>
        <w:t>（二）资格要求</w:t>
      </w:r>
      <w:bookmarkEnd w:id="2"/>
      <w:bookmarkEnd w:id="3"/>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1.供应商应具备下列资格条件，并提供证明材料（包括但不限于）：</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（1）依法登记具有独立法人资格的社会组织、企业和事业单位（提供相应登记证书副本复印件，提供法人或者营业执照，自然人身份证）。</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具有良好的商业信誉和健全的财务会计制度（提供参加本次采购活动上一年度或上一季度财务报告复印件，至少包括“包括资产负债表、利润表、现金流量表、所有者权益变动表（若有）及其附注（若有）”）。</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（3）具有履行合同所必需的设备和专业技术能力（根据项目需求提供履行合同所必需的设备和专业技术能力的声明及证明材料）。</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（4）有依法缴纳税收和社会保障资金的良好记录（提供参加本次政府采购活动前一年内任一个月的依法缴纳税收和社会保障资金的相关材料）。</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（5）参加采购活动前一年内，在经营活动中没有重大违法记录（提供参加本次采购活动前1年内在经营活动中没有违法记录的书面声明）。</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（6）法律、行政法规规定的其他条件（提供项目实施所必须的许可资质证明材料）。</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2.本项目不接受下列供应商：</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（1）联合体形式的供应商。</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（2）供应商被“信用中国”网站（www.creditchina.gov.cn）、“中国政府采购网”(www.ccgp.gov.cn)列入失信被执行人、重大税收违法案件当事人名单、政府采购严重违法失信行为记录名单。</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（3）供应商存在其它失信情况的。</w:t>
      </w:r>
    </w:p>
    <w:p>
      <w:pPr>
        <w:spacing w:line="514" w:lineRule="exact"/>
        <w:ind w:firstLine="643" w:firstLineChars="200"/>
        <w:rPr>
          <w:rFonts w:hint="eastAsia" w:ascii="楷体" w:hAnsi="楷体" w:eastAsia="楷体" w:cs="楷体"/>
          <w:b/>
          <w:bCs/>
          <w:szCs w:val="32"/>
        </w:rPr>
      </w:pPr>
      <w:bookmarkStart w:id="4" w:name="_Toc498001260"/>
      <w:bookmarkStart w:id="5" w:name="_Toc498001359"/>
      <w:r>
        <w:rPr>
          <w:rFonts w:hint="eastAsia" w:ascii="楷体" w:hAnsi="楷体" w:eastAsia="楷体" w:cs="楷体"/>
          <w:b/>
          <w:bCs/>
          <w:szCs w:val="32"/>
        </w:rPr>
        <w:t>（三）投标须知</w:t>
      </w:r>
      <w:bookmarkEnd w:id="4"/>
      <w:bookmarkEnd w:id="5"/>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1.各供应商填列价格以人民币为单位，须包括完成本项目所涉及的一切费用。</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w:t>
      </w:r>
      <w:bookmarkStart w:id="6" w:name="_Toc498001360"/>
      <w:bookmarkStart w:id="7" w:name="_Toc498001261"/>
      <w:r>
        <w:rPr>
          <w:rFonts w:hint="eastAsia" w:ascii="仿宋_GB2312" w:hAnsi="仿宋_GB2312" w:eastAsia="仿宋_GB2312" w:cs="仿宋_GB2312"/>
          <w:szCs w:val="32"/>
        </w:rPr>
        <w:t>本项目最高限价</w:t>
      </w:r>
      <w:r>
        <w:rPr>
          <w:rFonts w:hint="eastAsia" w:ascii="仿宋_GB2312" w:hAnsi="仿宋_GB2312" w:eastAsia="仿宋_GB2312" w:cs="仿宋_GB2312"/>
          <w:szCs w:val="32"/>
          <w:lang w:val="en-US" w:eastAsia="zh-CN"/>
        </w:rPr>
        <w:t>30</w:t>
      </w:r>
      <w:r>
        <w:rPr>
          <w:rFonts w:hint="eastAsia" w:ascii="仿宋_GB2312" w:hAnsi="仿宋_GB2312" w:eastAsia="仿宋_GB2312" w:cs="仿宋_GB2312"/>
          <w:szCs w:val="32"/>
        </w:rPr>
        <w:t>万元。</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3.按综合评标法评定。</w:t>
      </w:r>
    </w:p>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本采购包为面向中小企业采购，投标人须提供中小企业声明函。监狱企业、残疾人福利性单位视同小型、微型企业。</w:t>
      </w:r>
    </w:p>
    <w:p>
      <w:pPr>
        <w:spacing w:line="514" w:lineRule="exact"/>
        <w:ind w:firstLine="643" w:firstLineChars="200"/>
        <w:rPr>
          <w:rFonts w:hint="eastAsia" w:ascii="仿宋_GB2312" w:hAnsi="仿宋_GB2312" w:eastAsia="仿宋_GB2312" w:cs="仿宋_GB2312"/>
          <w:szCs w:val="32"/>
        </w:rPr>
      </w:pPr>
      <w:r>
        <w:rPr>
          <w:rFonts w:hint="eastAsia" w:ascii="楷体" w:hAnsi="楷体" w:eastAsia="楷体" w:cs="楷体"/>
          <w:b/>
          <w:bCs/>
          <w:szCs w:val="32"/>
        </w:rPr>
        <w:t>（四）投标</w:t>
      </w:r>
      <w:bookmarkEnd w:id="6"/>
      <w:bookmarkEnd w:id="7"/>
      <w:r>
        <w:rPr>
          <w:rFonts w:hint="eastAsia" w:ascii="楷体" w:hAnsi="楷体" w:eastAsia="楷体" w:cs="楷体"/>
          <w:b/>
          <w:bCs/>
          <w:szCs w:val="32"/>
        </w:rPr>
        <w:t>要求</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供应商应仔细阅读的本项目说明及要求的所有内容，按照要求提交响应文件。响应文件应对本项目的要求做出实质性响应，并对所提供的证明或佐证材料真实性负责，提供虚假材料谋取成交的其报价无效。响应文件应当包括但不限于以下内容：</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1.商务文件：</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（1）有关承诺函；</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（2）报价单；</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（3）营业执照(法人证书)复印件；</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（4）法定代表人授权委托书；</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（5）法定代表人有效身份证复印件；</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（6）委托代理人有效身份证复印件（若有）；</w:t>
      </w:r>
    </w:p>
    <w:p>
      <w:pPr>
        <w:spacing w:line="514" w:lineRule="exact"/>
        <w:ind w:firstLine="640" w:firstLineChars="200"/>
        <w:rPr>
          <w:rFonts w:hint="eastAsia" w:ascii="仿宋_GB2312" w:hAnsi="仿宋_GB2312" w:eastAsia="仿宋_GB2312" w:cs="仿宋_GB2312"/>
          <w:szCs w:val="32"/>
        </w:rPr>
      </w:pPr>
      <w:bookmarkStart w:id="8" w:name="_Hlk160823965"/>
      <w:r>
        <w:rPr>
          <w:rFonts w:hint="eastAsia" w:ascii="仿宋_GB2312" w:hAnsi="仿宋_GB2312" w:eastAsia="仿宋_GB2312" w:cs="仿宋_GB2312"/>
          <w:szCs w:val="32"/>
        </w:rPr>
        <w:t>（7）信用、财务状况报告、纳税、社保等良好记录相关材料以及</w:t>
      </w:r>
      <w:bookmarkEnd w:id="8"/>
      <w:r>
        <w:rPr>
          <w:rFonts w:hint="eastAsia" w:ascii="仿宋_GB2312" w:hAnsi="仿宋_GB2312" w:eastAsia="仿宋_GB2312" w:cs="仿宋_GB2312"/>
          <w:szCs w:val="32"/>
        </w:rPr>
        <w:t>履行合同所必须的设备和专业技术能力等证明材料。</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2.技术文件：</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（1）提交项目整体服务方案和项目实施计划，对本采购文件“项目技术要求”进行回应。</w:t>
      </w:r>
    </w:p>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（2）供应商认为应提交的其他文件。</w:t>
      </w:r>
    </w:p>
    <w:p>
      <w:pPr>
        <w:spacing w:line="514" w:lineRule="exact"/>
        <w:ind w:firstLine="640" w:firstLineChars="200"/>
        <w:rPr>
          <w:rFonts w:hint="eastAsia" w:ascii="仿宋_GB2312" w:hAnsi="仿宋_GB2312" w:eastAsia="仿宋_GB2312" w:cs="仿宋_GB2312"/>
          <w:szCs w:val="32"/>
        </w:rPr>
        <w:sectPr>
          <w:footerReference r:id="rId3" w:type="default"/>
          <w:pgSz w:w="16838" w:h="11906" w:orient="landscape"/>
          <w:pgMar w:top="1418" w:right="1985" w:bottom="1418" w:left="1418" w:header="850" w:footer="850" w:gutter="0"/>
          <w:cols w:space="720" w:num="1"/>
          <w:titlePg/>
          <w:docGrid w:linePitch="435" w:charSpace="0"/>
        </w:sectPr>
      </w:pPr>
    </w:p>
    <w:p>
      <w:pPr>
        <w:spacing w:line="514" w:lineRule="exact"/>
        <w:ind w:firstLine="640" w:firstLineChars="200"/>
        <w:rPr>
          <w:rFonts w:hint="eastAsia" w:eastAsia="黑体" w:cs="黑体"/>
          <w:szCs w:val="32"/>
        </w:rPr>
      </w:pPr>
      <w:bookmarkStart w:id="9" w:name="_Toc498001263"/>
      <w:bookmarkStart w:id="10" w:name="_Toc498001362"/>
      <w:r>
        <w:rPr>
          <w:rFonts w:hint="eastAsia" w:eastAsia="黑体" w:cs="黑体"/>
          <w:szCs w:val="32"/>
        </w:rPr>
        <w:t>二、项目内容及具体要求</w:t>
      </w:r>
      <w:bookmarkEnd w:id="9"/>
      <w:bookmarkEnd w:id="10"/>
    </w:p>
    <w:p>
      <w:pPr>
        <w:spacing w:line="514" w:lineRule="exact"/>
        <w:ind w:firstLine="643" w:firstLineChars="200"/>
        <w:rPr>
          <w:rFonts w:ascii="楷体" w:hAnsi="楷体" w:eastAsia="楷体" w:cs="楷体"/>
          <w:b/>
          <w:bCs/>
          <w:szCs w:val="32"/>
        </w:rPr>
      </w:pPr>
      <w:bookmarkStart w:id="11" w:name="_Toc337546423"/>
      <w:bookmarkStart w:id="12" w:name="_Toc326331734"/>
      <w:bookmarkStart w:id="13" w:name="_Toc366651469"/>
      <w:bookmarkStart w:id="14" w:name="_Toc455746732"/>
      <w:bookmarkStart w:id="15" w:name="_Toc347903956"/>
      <w:bookmarkStart w:id="16" w:name="_Toc326331732"/>
      <w:bookmarkStart w:id="17" w:name="_Toc332898723"/>
      <w:bookmarkStart w:id="18" w:name="_Toc325981871"/>
      <w:bookmarkStart w:id="19" w:name="_Toc328999466"/>
      <w:bookmarkStart w:id="20" w:name="_Toc325446794"/>
      <w:bookmarkStart w:id="21" w:name="_Toc333485789"/>
      <w:bookmarkStart w:id="22" w:name="_Toc330549050"/>
      <w:bookmarkStart w:id="23" w:name="_Toc498001264"/>
      <w:bookmarkStart w:id="24" w:name="_Toc498001363"/>
      <w:bookmarkStart w:id="25" w:name="_Toc333485787"/>
      <w:bookmarkStart w:id="26" w:name="_Toc366651467"/>
      <w:bookmarkStart w:id="27" w:name="_Toc386100207"/>
      <w:bookmarkStart w:id="28" w:name="_Toc378522713"/>
      <w:bookmarkStart w:id="29" w:name="_Toc330549052"/>
      <w:bookmarkStart w:id="30" w:name="_Toc330451571"/>
      <w:bookmarkStart w:id="31" w:name="_Toc325446792"/>
      <w:bookmarkStart w:id="32" w:name="_Toc320803478"/>
      <w:bookmarkStart w:id="33" w:name="_Toc375925092"/>
      <w:r>
        <w:rPr>
          <w:rFonts w:hint="eastAsia" w:ascii="楷体" w:hAnsi="楷体" w:eastAsia="楷体" w:cs="楷体"/>
          <w:b/>
          <w:bCs/>
          <w:szCs w:val="32"/>
        </w:rPr>
        <w:t>（一）项目概述</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Start w:id="34" w:name="_Toc498001364"/>
      <w:bookmarkStart w:id="35" w:name="_Toc498001265"/>
      <w:bookmarkStart w:id="36" w:name="_Toc362425411"/>
      <w:bookmarkStart w:id="37" w:name="_Toc351982587"/>
      <w:bookmarkStart w:id="38" w:name="_Toc363110617"/>
    </w:p>
    <w:p>
      <w:pPr>
        <w:spacing w:line="51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宣传展示我省</w:t>
      </w:r>
      <w:r>
        <w:rPr>
          <w:rFonts w:hint="eastAsia" w:ascii="仿宋_GB2312" w:hAnsi="仿宋_GB2312" w:eastAsia="仿宋_GB2312" w:cs="仿宋_GB2312"/>
          <w:color w:val="auto"/>
          <w:sz w:val="32"/>
          <w:szCs w:val="32"/>
          <w:lang w:eastAsia="zh-CN"/>
        </w:rPr>
        <w:t>各地</w:t>
      </w:r>
      <w:r>
        <w:rPr>
          <w:rFonts w:hint="eastAsia" w:ascii="仿宋_GB2312" w:hAnsi="仿宋_GB2312" w:eastAsia="仿宋_GB2312" w:cs="仿宋_GB2312"/>
          <w:color w:val="auto"/>
          <w:sz w:val="32"/>
          <w:szCs w:val="32"/>
        </w:rPr>
        <w:t>地理标志产品风采，提升我省地理标志产品知名度和美誉度，拟</w:t>
      </w:r>
      <w:r>
        <w:rPr>
          <w:rFonts w:hint="eastAsia" w:ascii="仿宋_GB2312" w:hAnsi="仿宋_GB2312" w:eastAsia="仿宋_GB2312" w:cs="仿宋_GB2312"/>
          <w:color w:val="auto"/>
          <w:sz w:val="32"/>
          <w:szCs w:val="32"/>
          <w:lang w:eastAsia="zh-CN"/>
        </w:rPr>
        <w:t>以采购方式委托第三方</w:t>
      </w:r>
      <w:r>
        <w:rPr>
          <w:rFonts w:hint="eastAsia" w:ascii="仿宋_GB2312" w:hAnsi="仿宋_GB2312" w:eastAsia="仿宋_GB2312" w:cs="仿宋_GB2312"/>
          <w:color w:val="auto"/>
          <w:sz w:val="32"/>
          <w:szCs w:val="32"/>
          <w:lang w:val="en-US" w:eastAsia="zh-CN"/>
        </w:rPr>
        <w:t>推广福建省</w:t>
      </w:r>
      <w:r>
        <w:rPr>
          <w:rFonts w:hint="eastAsia" w:ascii="仿宋_GB2312" w:hAnsi="仿宋_GB2312" w:eastAsia="仿宋_GB2312" w:cs="仿宋_GB2312"/>
          <w:color w:val="auto"/>
          <w:sz w:val="32"/>
          <w:szCs w:val="32"/>
        </w:rPr>
        <w:t>地理标志</w:t>
      </w:r>
      <w:r>
        <w:rPr>
          <w:rFonts w:hint="eastAsia" w:ascii="仿宋_GB2312" w:hAnsi="仿宋_GB2312" w:eastAsia="仿宋_GB2312" w:cs="仿宋_GB2312"/>
          <w:color w:val="auto"/>
          <w:sz w:val="32"/>
          <w:szCs w:val="32"/>
          <w:lang w:eastAsia="zh-CN"/>
        </w:rPr>
        <w:t>产品</w:t>
      </w:r>
      <w:r>
        <w:rPr>
          <w:rFonts w:hint="eastAsia" w:ascii="仿宋_GB2312" w:hAnsi="仿宋_GB2312" w:eastAsia="仿宋_GB2312" w:cs="仿宋_GB2312"/>
          <w:color w:val="auto"/>
          <w:sz w:val="32"/>
          <w:szCs w:val="32"/>
        </w:rPr>
        <w:t>，同时也为我省优质地理标志产品参加全国各类产品推介活动</w:t>
      </w:r>
      <w:r>
        <w:rPr>
          <w:rFonts w:hint="eastAsia" w:ascii="仿宋_GB2312" w:hAnsi="仿宋_GB2312" w:eastAsia="仿宋_GB2312" w:cs="仿宋_GB2312"/>
          <w:color w:val="auto"/>
          <w:sz w:val="32"/>
          <w:szCs w:val="32"/>
          <w:lang w:val="en-US" w:eastAsia="zh-CN"/>
        </w:rPr>
        <w:t>提升影响力</w:t>
      </w:r>
      <w:r>
        <w:rPr>
          <w:rFonts w:hint="eastAsia" w:ascii="仿宋_GB2312" w:hAnsi="仿宋_GB2312" w:eastAsia="仿宋_GB2312" w:cs="仿宋_GB2312"/>
          <w:color w:val="auto"/>
          <w:sz w:val="32"/>
          <w:szCs w:val="32"/>
        </w:rPr>
        <w:t>。</w:t>
      </w:r>
    </w:p>
    <w:p>
      <w:pPr>
        <w:spacing w:line="520" w:lineRule="exact"/>
        <w:ind w:firstLine="643" w:firstLineChars="200"/>
        <w:rPr>
          <w:rFonts w:hint="eastAsia" w:ascii="仿宋_GB2312" w:hAnsi="Times New Roman" w:eastAsia="仿宋_GB2312" w:cs="Times New Roman"/>
          <w:color w:val="auto"/>
          <w:sz w:val="32"/>
          <w:szCs w:val="32"/>
          <w:lang w:eastAsia="zh-CN"/>
        </w:rPr>
      </w:pPr>
      <w:r>
        <w:rPr>
          <w:rFonts w:hint="eastAsia" w:ascii="楷体" w:hAnsi="楷体" w:eastAsia="楷体" w:cs="楷体"/>
          <w:b/>
          <w:bCs/>
          <w:szCs w:val="32"/>
        </w:rPr>
        <w:t>（二）项目技术</w:t>
      </w:r>
      <w:r>
        <w:rPr>
          <w:rFonts w:hint="eastAsia" w:ascii="楷体" w:hAnsi="楷体" w:eastAsia="楷体" w:cs="楷体"/>
          <w:b/>
          <w:bCs/>
          <w:szCs w:val="32"/>
          <w:lang w:val="en-US" w:eastAsia="zh-CN"/>
        </w:rPr>
        <w:t>和服务</w:t>
      </w:r>
      <w:r>
        <w:rPr>
          <w:rFonts w:hint="eastAsia" w:ascii="楷体" w:hAnsi="楷体" w:eastAsia="楷体" w:cs="楷体"/>
          <w:b/>
          <w:bCs/>
          <w:szCs w:val="32"/>
          <w:lang w:eastAsia="zh-CN"/>
        </w:rPr>
        <w:t>要求</w:t>
      </w:r>
      <w:bookmarkEnd w:id="34"/>
      <w:bookmarkEnd w:id="35"/>
    </w:p>
    <w:p>
      <w:pPr>
        <w:spacing w:line="520" w:lineRule="exact"/>
        <w:ind w:firstLine="640" w:firstLineChars="200"/>
        <w:rPr>
          <w:rFonts w:hint="eastAsia" w:ascii="仿宋_GB2312" w:hAnsi="仿宋_GB2312" w:eastAsia="仿宋_GB2312" w:cs="仿宋_GB2312"/>
          <w:color w:val="auto"/>
          <w:sz w:val="32"/>
          <w:szCs w:val="32"/>
          <w:lang w:eastAsia="zh-CN"/>
        </w:rPr>
      </w:pPr>
      <w:bookmarkStart w:id="39" w:name="_Toc498001367"/>
      <w:bookmarkStart w:id="40" w:name="_Toc498001268"/>
      <w:bookmarkStart w:id="41" w:name="_Toc351968248"/>
      <w:bookmarkStart w:id="42" w:name="_Toc419485050"/>
      <w:bookmarkStart w:id="43" w:name="_Toc346300369"/>
      <w:bookmarkStart w:id="44" w:name="_Toc330567036"/>
      <w:bookmarkStart w:id="45" w:name="_Toc347060298"/>
      <w:bookmarkStart w:id="46" w:name="_Toc450320511"/>
      <w:bookmarkStart w:id="47" w:name="_Toc455746740"/>
      <w:bookmarkStart w:id="48" w:name="_Toc421023428"/>
      <w:bookmarkStart w:id="49" w:name="_Toc430180165"/>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在央级</w:t>
      </w:r>
      <w:r>
        <w:rPr>
          <w:rFonts w:hint="eastAsia" w:ascii="仿宋_GB2312" w:hAnsi="仿宋_GB2312" w:eastAsia="仿宋_GB2312" w:cs="仿宋_GB2312"/>
          <w:color w:val="auto"/>
          <w:sz w:val="32"/>
          <w:szCs w:val="32"/>
          <w:lang w:eastAsia="zh-CN"/>
        </w:rPr>
        <w:t>媒体，开设“福建地理标志”专题页面，专题内容为福建省市场监管局福建地理标志相关工作的最新动态、经验做法等，专题栏目</w:t>
      </w:r>
      <w:r>
        <w:rPr>
          <w:rFonts w:hint="eastAsia" w:ascii="仿宋_GB2312" w:hAnsi="仿宋_GB2312" w:eastAsia="仿宋_GB2312" w:cs="仿宋_GB2312"/>
          <w:color w:val="auto"/>
          <w:sz w:val="32"/>
          <w:szCs w:val="32"/>
          <w:lang w:val="en-US" w:eastAsia="zh-CN"/>
        </w:rPr>
        <w:t>拟设置</w:t>
      </w:r>
      <w:r>
        <w:rPr>
          <w:rFonts w:hint="eastAsia" w:ascii="仿宋_GB2312" w:hAnsi="仿宋_GB2312" w:eastAsia="仿宋_GB2312" w:cs="仿宋_GB2312"/>
          <w:color w:val="auto"/>
          <w:sz w:val="32"/>
          <w:szCs w:val="32"/>
          <w:lang w:eastAsia="zh-CN"/>
        </w:rPr>
        <w:t>头图、焦点图、热点轮播、产业观察、好品福建（如</w:t>
      </w:r>
      <w:r>
        <w:rPr>
          <w:rFonts w:hint="eastAsia" w:ascii="仿宋_GB2312" w:hAnsi="仿宋_GB2312" w:eastAsia="仿宋_GB2312" w:cs="仿宋_GB2312"/>
          <w:color w:val="auto"/>
          <w:sz w:val="32"/>
          <w:szCs w:val="32"/>
          <w:lang w:val="en-US" w:eastAsia="zh-CN"/>
        </w:rPr>
        <w:t>图文/</w:t>
      </w:r>
      <w:r>
        <w:rPr>
          <w:rFonts w:hint="eastAsia" w:ascii="仿宋_GB2312" w:hAnsi="仿宋_GB2312" w:eastAsia="仿宋_GB2312" w:cs="仿宋_GB2312"/>
          <w:color w:val="auto"/>
          <w:sz w:val="32"/>
          <w:szCs w:val="32"/>
          <w:lang w:eastAsia="zh-CN"/>
        </w:rPr>
        <w:t>海报/视频/图集</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）、媒体推广等。</w:t>
      </w:r>
    </w:p>
    <w:p>
      <w:p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2.供应商负责</w:t>
      </w:r>
      <w:r>
        <w:rPr>
          <w:rFonts w:hint="eastAsia" w:ascii="仿宋_GB2312" w:hAnsi="仿宋_GB2312" w:eastAsia="仿宋_GB2312" w:cs="仿宋_GB2312"/>
          <w:color w:val="auto"/>
          <w:sz w:val="32"/>
          <w:szCs w:val="32"/>
          <w:lang w:eastAsia="zh-CN"/>
        </w:rPr>
        <w:t>专题</w:t>
      </w:r>
      <w:r>
        <w:rPr>
          <w:rFonts w:hint="eastAsia" w:ascii="仿宋_GB2312" w:hAnsi="仿宋_GB2312" w:eastAsia="仿宋_GB2312" w:cs="仿宋_GB2312"/>
          <w:color w:val="auto"/>
          <w:sz w:val="32"/>
          <w:szCs w:val="32"/>
          <w:lang w:val="en-US" w:eastAsia="zh-CN"/>
        </w:rPr>
        <w:t>专栏</w:t>
      </w:r>
      <w:r>
        <w:rPr>
          <w:rFonts w:hint="eastAsia" w:ascii="仿宋_GB2312" w:hAnsi="仿宋_GB2312" w:eastAsia="仿宋_GB2312" w:cs="仿宋_GB2312"/>
          <w:color w:val="auto"/>
          <w:sz w:val="32"/>
          <w:szCs w:val="32"/>
          <w:lang w:eastAsia="zh-CN"/>
        </w:rPr>
        <w:t>页面</w:t>
      </w:r>
      <w:r>
        <w:rPr>
          <w:rFonts w:hint="eastAsia" w:ascii="仿宋_GB2312" w:hAnsi="仿宋_GB2312" w:eastAsia="仿宋_GB2312" w:cs="仿宋_GB2312"/>
          <w:color w:val="auto"/>
          <w:sz w:val="32"/>
          <w:szCs w:val="32"/>
          <w:lang w:val="en-US" w:eastAsia="zh-CN"/>
        </w:rPr>
        <w:t>设计。</w:t>
      </w:r>
    </w:p>
    <w:p>
      <w:pPr>
        <w:numPr>
          <w:ilvl w:val="0"/>
          <w:numId w:val="0"/>
        </w:num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将该专题以图片</w:t>
      </w:r>
      <w:r>
        <w:rPr>
          <w:rFonts w:hint="eastAsia" w:ascii="仿宋_GB2312" w:hAnsi="仿宋_GB2312" w:eastAsia="仿宋_GB2312" w:cs="仿宋_GB2312"/>
          <w:color w:val="auto"/>
          <w:sz w:val="32"/>
          <w:szCs w:val="32"/>
          <w:lang w:val="en-US" w:eastAsia="zh-CN"/>
        </w:rPr>
        <w:t>/文字链</w:t>
      </w:r>
      <w:r>
        <w:rPr>
          <w:rFonts w:hint="eastAsia" w:ascii="仿宋_GB2312" w:hAnsi="仿宋_GB2312" w:eastAsia="仿宋_GB2312" w:cs="仿宋_GB2312"/>
          <w:color w:val="auto"/>
          <w:sz w:val="32"/>
          <w:szCs w:val="32"/>
          <w:lang w:eastAsia="zh-CN"/>
        </w:rPr>
        <w:t>形式，链接至</w:t>
      </w:r>
      <w:r>
        <w:rPr>
          <w:rFonts w:hint="eastAsia" w:ascii="仿宋_GB2312" w:hAnsi="仿宋_GB2312" w:eastAsia="仿宋_GB2312" w:cs="仿宋_GB2312"/>
          <w:color w:val="auto"/>
          <w:sz w:val="32"/>
          <w:szCs w:val="32"/>
          <w:lang w:val="en-US" w:eastAsia="zh-CN"/>
        </w:rPr>
        <w:t>央级</w:t>
      </w:r>
      <w:r>
        <w:rPr>
          <w:rFonts w:hint="eastAsia" w:ascii="仿宋_GB2312" w:hAnsi="仿宋_GB2312" w:eastAsia="仿宋_GB2312" w:cs="仿宋_GB2312"/>
          <w:color w:val="auto"/>
          <w:sz w:val="32"/>
          <w:szCs w:val="32"/>
          <w:lang w:eastAsia="zh-CN"/>
        </w:rPr>
        <w:t>网络媒体平台首页</w:t>
      </w:r>
      <w:r>
        <w:rPr>
          <w:rFonts w:hint="eastAsia" w:ascii="仿宋_GB2312" w:hAnsi="仿宋_GB2312" w:eastAsia="仿宋_GB2312" w:cs="仿宋_GB2312"/>
          <w:color w:val="auto"/>
          <w:sz w:val="32"/>
          <w:szCs w:val="32"/>
          <w:lang w:val="en-US" w:eastAsia="zh-CN"/>
        </w:rPr>
        <w:t>推广1个月</w:t>
      </w:r>
      <w:r>
        <w:rPr>
          <w:rFonts w:hint="eastAsia" w:ascii="仿宋_GB2312" w:hAnsi="仿宋_GB2312" w:eastAsia="仿宋_GB2312" w:cs="仿宋_GB2312"/>
          <w:color w:val="auto"/>
          <w:sz w:val="32"/>
          <w:szCs w:val="32"/>
          <w:lang w:eastAsia="zh-CN"/>
        </w:rPr>
        <w:t>。</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合作期内需</w:t>
      </w:r>
      <w:r>
        <w:rPr>
          <w:rFonts w:hint="eastAsia" w:ascii="仿宋_GB2312" w:hAnsi="仿宋_GB2312" w:eastAsia="仿宋_GB2312" w:cs="仿宋_GB2312"/>
          <w:color w:val="auto"/>
          <w:sz w:val="32"/>
          <w:szCs w:val="32"/>
          <w:lang w:val="en-US" w:eastAsia="zh-CN"/>
        </w:rPr>
        <w:t>安排1名有</w:t>
      </w:r>
      <w:r>
        <w:rPr>
          <w:rFonts w:hint="eastAsia" w:ascii="仿宋_GB2312" w:hAnsi="仿宋_GB2312" w:eastAsia="仿宋_GB2312" w:cs="仿宋_GB2312"/>
          <w:color w:val="auto"/>
          <w:sz w:val="32"/>
          <w:szCs w:val="32"/>
          <w:lang w:eastAsia="zh-CN"/>
        </w:rPr>
        <w:t>新闻采编工作经验的工作人员对接以开展日常专题更新及维护工作。</w:t>
      </w:r>
    </w:p>
    <w:p>
      <w:pPr>
        <w:spacing w:line="52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5.根据采购方要求，供应商需提供海报设计服务，提供至少5张海报设计。</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推广投放：在</w:t>
      </w:r>
      <w:r>
        <w:rPr>
          <w:rFonts w:hint="eastAsia" w:ascii="仿宋_GB2312" w:hAnsi="仿宋_GB2312" w:eastAsia="仿宋_GB2312" w:cs="仿宋_GB2312"/>
          <w:color w:val="auto"/>
          <w:sz w:val="32"/>
          <w:szCs w:val="32"/>
          <w:lang w:val="en-US" w:eastAsia="zh-CN"/>
        </w:rPr>
        <w:t>央级</w:t>
      </w:r>
      <w:r>
        <w:rPr>
          <w:rFonts w:hint="eastAsia" w:ascii="仿宋_GB2312" w:hAnsi="仿宋_GB2312" w:eastAsia="仿宋_GB2312" w:cs="仿宋_GB2312"/>
          <w:color w:val="auto"/>
          <w:sz w:val="32"/>
          <w:szCs w:val="32"/>
          <w:lang w:eastAsia="zh-CN"/>
        </w:rPr>
        <w:t>网络媒体微信公众</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eastAsia="zh-CN"/>
        </w:rPr>
        <w:t>粉丝数不少于100万</w:t>
      </w:r>
      <w:r>
        <w:rPr>
          <w:rFonts w:hint="eastAsia" w:ascii="仿宋_GB2312" w:hAnsi="仿宋_GB2312" w:eastAsia="仿宋_GB2312" w:cs="仿宋_GB2312"/>
          <w:color w:val="auto"/>
          <w:sz w:val="32"/>
          <w:szCs w:val="32"/>
          <w:lang w:val="en-US" w:eastAsia="zh-CN"/>
        </w:rPr>
        <w:t>的移动端</w:t>
      </w:r>
      <w:r>
        <w:rPr>
          <w:rFonts w:hint="eastAsia" w:ascii="仿宋_GB2312" w:hAnsi="仿宋_GB2312" w:eastAsia="仿宋_GB2312" w:cs="仿宋_GB2312"/>
          <w:color w:val="auto"/>
          <w:sz w:val="32"/>
          <w:szCs w:val="32"/>
          <w:lang w:eastAsia="zh-CN"/>
        </w:rPr>
        <w:t>平台推文顶部标签进行推广，</w:t>
      </w:r>
      <w:r>
        <w:rPr>
          <w:rFonts w:hint="eastAsia" w:ascii="仿宋_GB2312" w:hAnsi="仿宋_GB2312" w:eastAsia="仿宋_GB2312" w:cs="仿宋_GB2312"/>
          <w:color w:val="auto"/>
          <w:sz w:val="32"/>
          <w:szCs w:val="32"/>
          <w:lang w:val="en-US" w:eastAsia="zh-CN"/>
        </w:rPr>
        <w:t>推广</w:t>
      </w:r>
      <w:r>
        <w:rPr>
          <w:rFonts w:hint="eastAsia" w:ascii="仿宋_GB2312" w:hAnsi="仿宋_GB2312" w:eastAsia="仿宋_GB2312" w:cs="仿宋_GB2312"/>
          <w:color w:val="auto"/>
          <w:sz w:val="32"/>
          <w:szCs w:val="32"/>
          <w:lang w:eastAsia="zh-CN"/>
        </w:rPr>
        <w:t>时间至少</w:t>
      </w:r>
      <w:r>
        <w:rPr>
          <w:rFonts w:hint="eastAsia" w:ascii="仿宋_GB2312" w:hAnsi="仿宋_GB2312" w:eastAsia="仿宋_GB2312" w:cs="仿宋_GB2312"/>
          <w:color w:val="auto"/>
          <w:sz w:val="32"/>
          <w:szCs w:val="32"/>
          <w:lang w:val="en-US" w:eastAsia="zh-CN"/>
        </w:rPr>
        <w:t>10天</w:t>
      </w:r>
      <w:r>
        <w:rPr>
          <w:rFonts w:hint="eastAsia" w:ascii="仿宋_GB2312" w:hAnsi="仿宋_GB2312" w:eastAsia="仿宋_GB2312" w:cs="仿宋_GB2312"/>
          <w:color w:val="auto"/>
          <w:sz w:val="32"/>
          <w:szCs w:val="32"/>
          <w:lang w:eastAsia="zh-CN"/>
        </w:rPr>
        <w:t>。</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主题策划</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lang w:eastAsia="zh-CN"/>
        </w:rPr>
        <w:t>：结合福建地理标志重点工作开展主题策划</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lang w:eastAsia="zh-CN"/>
        </w:rPr>
        <w:t>，内容如福建省市场监管局在培育和发展地理标志培育、运用、保护等方面的工作经验和成效。</w:t>
      </w:r>
    </w:p>
    <w:p>
      <w:pPr>
        <w:spacing w:line="52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媒体推广：在至少1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家省级及以上的网络媒体进行推广（如微信/微博/网端/移动端等），其中至少包含</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家央级媒体平台推广；</w:t>
      </w:r>
      <w:r>
        <w:rPr>
          <w:rFonts w:hint="eastAsia" w:ascii="仿宋_GB2312" w:hAnsi="仿宋_GB2312" w:eastAsia="仿宋_GB2312" w:cs="仿宋_GB2312"/>
          <w:color w:val="auto"/>
          <w:sz w:val="32"/>
          <w:szCs w:val="32"/>
          <w:lang w:val="en-US" w:eastAsia="zh-CN"/>
        </w:rPr>
        <w:t>供应商</w:t>
      </w:r>
      <w:r>
        <w:rPr>
          <w:rFonts w:hint="eastAsia" w:ascii="仿宋_GB2312" w:hAnsi="仿宋_GB2312" w:eastAsia="仿宋_GB2312" w:cs="仿宋_GB2312"/>
          <w:color w:val="auto"/>
          <w:sz w:val="32"/>
          <w:szCs w:val="32"/>
          <w:lang w:eastAsia="zh-CN"/>
        </w:rPr>
        <w:t>并配合完成日常相关宣传任务，刊发福建地理标志相关工作动态信息宣传</w:t>
      </w:r>
      <w:r>
        <w:rPr>
          <w:rFonts w:hint="eastAsia" w:ascii="仿宋_GB2312" w:hAnsi="仿宋_GB2312" w:eastAsia="仿宋_GB2312" w:cs="仿宋_GB2312"/>
          <w:color w:val="auto"/>
          <w:sz w:val="32"/>
          <w:szCs w:val="32"/>
          <w:lang w:val="en-US" w:eastAsia="zh-CN"/>
        </w:rPr>
        <w:t>至少30次（天）</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人员配合：合作期间根据</w:t>
      </w:r>
      <w:r>
        <w:rPr>
          <w:rFonts w:hint="eastAsia" w:ascii="仿宋_GB2312" w:hAnsi="仿宋_GB2312" w:eastAsia="仿宋_GB2312" w:cs="仿宋_GB2312"/>
          <w:color w:val="auto"/>
          <w:sz w:val="32"/>
          <w:szCs w:val="32"/>
          <w:lang w:val="en-US" w:eastAsia="zh-CN"/>
        </w:rPr>
        <w:t>采购方</w:t>
      </w:r>
      <w:r>
        <w:rPr>
          <w:rFonts w:hint="eastAsia" w:ascii="仿宋_GB2312" w:hAnsi="仿宋_GB2312" w:eastAsia="仿宋_GB2312" w:cs="仿宋_GB2312"/>
          <w:color w:val="auto"/>
          <w:sz w:val="32"/>
          <w:szCs w:val="32"/>
          <w:lang w:eastAsia="zh-CN"/>
        </w:rPr>
        <w:t>需要须配合安排人员到场推广</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lang w:eastAsia="zh-CN"/>
        </w:rPr>
        <w:t>活动。</w:t>
      </w:r>
    </w:p>
    <w:p>
      <w:pPr>
        <w:widowControl/>
        <w:adjustRightInd/>
        <w:snapToGrid/>
        <w:spacing w:line="514" w:lineRule="exact"/>
        <w:ind w:firstLine="640" w:firstLineChars="200"/>
        <w:jc w:val="lef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val="en-US" w:eastAsia="zh-CN"/>
        </w:rPr>
        <w:t>10.</w:t>
      </w:r>
      <w:r>
        <w:rPr>
          <w:rFonts w:hint="eastAsia" w:ascii="仿宋_GB2312" w:hAnsi="仿宋_GB2312" w:eastAsia="仿宋_GB2312" w:cs="仿宋_GB2312"/>
          <w:color w:val="auto"/>
          <w:szCs w:val="32"/>
        </w:rPr>
        <w:t>在项目服务期间，成交供应商</w:t>
      </w:r>
      <w:bookmarkStart w:id="50" w:name="_Hlk159515109"/>
      <w:r>
        <w:rPr>
          <w:rFonts w:hint="eastAsia" w:ascii="仿宋_GB2312" w:hAnsi="仿宋_GB2312" w:eastAsia="仿宋_GB2312" w:cs="仿宋_GB2312"/>
          <w:color w:val="auto"/>
          <w:szCs w:val="32"/>
        </w:rPr>
        <w:t>应采购人要求</w:t>
      </w:r>
      <w:bookmarkEnd w:id="50"/>
      <w:r>
        <w:rPr>
          <w:rFonts w:hint="eastAsia" w:ascii="仿宋_GB2312" w:hAnsi="仿宋_GB2312" w:eastAsia="仿宋_GB2312" w:cs="仿宋_GB2312"/>
          <w:color w:val="auto"/>
          <w:szCs w:val="32"/>
        </w:rPr>
        <w:t>，</w:t>
      </w:r>
      <w:bookmarkStart w:id="51" w:name="_Hlk159515140"/>
      <w:r>
        <w:rPr>
          <w:rFonts w:hint="eastAsia" w:ascii="仿宋_GB2312" w:hAnsi="仿宋_GB2312" w:eastAsia="仿宋_GB2312" w:cs="仿宋_GB2312"/>
          <w:color w:val="auto"/>
          <w:szCs w:val="32"/>
        </w:rPr>
        <w:t>必须2小时响应，指定专人进行现场沟通交流，协助处理本项目服务相关事项。</w:t>
      </w:r>
      <w:bookmarkEnd w:id="51"/>
    </w:p>
    <w:p>
      <w:pPr>
        <w:widowControl/>
        <w:adjustRightInd/>
        <w:snapToGrid/>
        <w:spacing w:line="514"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Cs w:val="32"/>
          <w:lang w:val="en-US" w:eastAsia="zh-CN"/>
        </w:rPr>
        <w:t>11.</w:t>
      </w:r>
      <w:r>
        <w:rPr>
          <w:rFonts w:hint="eastAsia" w:ascii="仿宋_GB2312" w:hAnsi="仿宋_GB2312" w:eastAsia="仿宋_GB2312" w:cs="仿宋_GB2312"/>
          <w:color w:val="auto"/>
          <w:sz w:val="32"/>
          <w:szCs w:val="32"/>
          <w:lang w:val="en-US" w:eastAsia="zh-CN"/>
        </w:rPr>
        <w:t>发布时效要求：对采购人提出的发布内容要求，成交供应商不得无故拒绝刊登或拖延刊登。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12.未经采购人同意，成交供应商需承诺不得擅自使用所有的文字、图像、工作中收集的各类资料及最终成果。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13.供应商应具有成熟的媒体运营团队，有全媒体宣传运营的经验。</w:t>
      </w:r>
    </w:p>
    <w:p>
      <w:pPr>
        <w:widowControl/>
        <w:adjustRightInd/>
        <w:snapToGrid/>
        <w:spacing w:line="514" w:lineRule="exact"/>
        <w:ind w:firstLine="643" w:firstLineChars="200"/>
        <w:jc w:val="left"/>
        <w:rPr>
          <w:rFonts w:hint="eastAsia" w:ascii="楷体" w:hAnsi="楷体" w:eastAsia="楷体" w:cs="楷体"/>
          <w:b/>
          <w:bCs/>
          <w:color w:val="auto"/>
          <w:szCs w:val="32"/>
        </w:rPr>
      </w:pPr>
      <w:r>
        <w:rPr>
          <w:rFonts w:hint="eastAsia" w:ascii="楷体" w:hAnsi="楷体" w:eastAsia="楷体" w:cs="楷体"/>
          <w:b/>
          <w:bCs/>
          <w:color w:val="auto"/>
          <w:szCs w:val="32"/>
        </w:rPr>
        <w:t>（</w:t>
      </w:r>
      <w:r>
        <w:rPr>
          <w:rFonts w:hint="eastAsia" w:ascii="楷体" w:hAnsi="楷体" w:eastAsia="楷体" w:cs="楷体"/>
          <w:b/>
          <w:bCs/>
          <w:color w:val="auto"/>
          <w:szCs w:val="32"/>
          <w:lang w:val="en-US" w:eastAsia="zh-CN"/>
        </w:rPr>
        <w:t>三</w:t>
      </w:r>
      <w:r>
        <w:rPr>
          <w:rFonts w:hint="eastAsia" w:ascii="楷体" w:hAnsi="楷体" w:eastAsia="楷体" w:cs="楷体"/>
          <w:b/>
          <w:bCs/>
          <w:color w:val="auto"/>
          <w:szCs w:val="32"/>
        </w:rPr>
        <w:t>）验收要求</w:t>
      </w:r>
    </w:p>
    <w:p>
      <w:pPr>
        <w:keepNext w:val="0"/>
        <w:keepLines w:val="0"/>
        <w:pageBreakBefore w:val="0"/>
        <w:widowControl w:val="0"/>
        <w:kinsoku/>
        <w:wordWrap/>
        <w:overflowPunct/>
        <w:topLinePunct w:val="0"/>
        <w:autoSpaceDE/>
        <w:autoSpaceDN/>
        <w:bidi w:val="0"/>
        <w:adjustRightInd w:val="0"/>
        <w:snapToGrid w:val="0"/>
        <w:spacing w:line="51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Cs w:val="32"/>
        </w:rPr>
        <w:t>成交供应商</w:t>
      </w:r>
      <w:r>
        <w:rPr>
          <w:rFonts w:hint="eastAsia" w:ascii="仿宋_GB2312" w:hAnsi="仿宋_GB2312" w:eastAsia="仿宋_GB2312" w:cs="仿宋_GB2312"/>
          <w:color w:val="auto"/>
          <w:sz w:val="32"/>
          <w:szCs w:val="32"/>
          <w:lang w:val="en-US" w:eastAsia="zh-CN"/>
        </w:rPr>
        <w:t>按照采购内容要求完成服务，提供《福建地理标志媒体推广服务项目结案报告》，采购人应对项目进行验收。</w:t>
      </w:r>
    </w:p>
    <w:p>
      <w:pPr>
        <w:spacing w:line="514" w:lineRule="exact"/>
        <w:ind w:firstLine="643" w:firstLineChars="200"/>
        <w:rPr>
          <w:rFonts w:hint="eastAsia" w:ascii="楷体" w:hAnsi="楷体" w:eastAsia="楷体" w:cs="楷体"/>
          <w:b/>
          <w:bCs/>
          <w:color w:val="auto"/>
          <w:szCs w:val="32"/>
        </w:rPr>
      </w:pPr>
      <w:r>
        <w:rPr>
          <w:rFonts w:hint="eastAsia" w:ascii="楷体" w:hAnsi="楷体" w:eastAsia="楷体" w:cs="楷体"/>
          <w:b/>
          <w:bCs/>
          <w:color w:val="auto"/>
          <w:szCs w:val="32"/>
        </w:rPr>
        <w:t>（</w:t>
      </w:r>
      <w:r>
        <w:rPr>
          <w:rFonts w:hint="eastAsia" w:ascii="楷体" w:hAnsi="楷体" w:eastAsia="楷体" w:cs="楷体"/>
          <w:b/>
          <w:bCs/>
          <w:color w:val="auto"/>
          <w:szCs w:val="32"/>
          <w:lang w:val="en-US" w:eastAsia="zh-CN"/>
        </w:rPr>
        <w:t>四</w:t>
      </w:r>
      <w:r>
        <w:rPr>
          <w:rFonts w:hint="eastAsia" w:ascii="楷体" w:hAnsi="楷体" w:eastAsia="楷体" w:cs="楷体"/>
          <w:b/>
          <w:bCs/>
          <w:color w:val="auto"/>
          <w:szCs w:val="32"/>
        </w:rPr>
        <w:t>）项目付款方式</w:t>
      </w:r>
      <w:bookmarkEnd w:id="39"/>
      <w:bookmarkEnd w:id="40"/>
    </w:p>
    <w:p>
      <w:pPr>
        <w:spacing w:line="514"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成交供应商与采购人签订合同后，采购人向成交供应商转账支付</w:t>
      </w:r>
      <w:r>
        <w:rPr>
          <w:rFonts w:hint="eastAsia" w:ascii="仿宋_GB2312" w:hAnsi="仿宋_GB2312" w:eastAsia="仿宋_GB2312" w:cs="仿宋_GB2312"/>
          <w:color w:val="auto"/>
          <w:szCs w:val="32"/>
          <w:lang w:val="en-US" w:eastAsia="zh-CN"/>
        </w:rPr>
        <w:t>50</w:t>
      </w:r>
      <w:r>
        <w:rPr>
          <w:rFonts w:hint="eastAsia" w:ascii="仿宋_GB2312" w:hAnsi="仿宋_GB2312" w:eastAsia="仿宋_GB2312" w:cs="仿宋_GB2312"/>
          <w:color w:val="auto"/>
          <w:szCs w:val="32"/>
        </w:rPr>
        <w:t>%项目费用。成交供应商完成本项目要求的所有成果并通过采购人验收后</w:t>
      </w:r>
      <w:r>
        <w:rPr>
          <w:rFonts w:hint="eastAsia" w:ascii="仿宋_GB2312" w:hAnsi="仿宋_GB2312" w:eastAsia="仿宋_GB2312" w:cs="仿宋_GB2312"/>
          <w:color w:val="auto"/>
          <w:szCs w:val="32"/>
          <w:lang w:val="en-US" w:eastAsia="zh-CN"/>
        </w:rPr>
        <w:t>7</w:t>
      </w:r>
      <w:r>
        <w:rPr>
          <w:rFonts w:hint="eastAsia" w:ascii="仿宋_GB2312" w:hAnsi="仿宋_GB2312" w:eastAsia="仿宋_GB2312" w:cs="仿宋_GB2312"/>
          <w:color w:val="auto"/>
          <w:szCs w:val="32"/>
        </w:rPr>
        <w:t>个工作日内，采购人向成交供应商转账支付余下</w:t>
      </w:r>
      <w:r>
        <w:rPr>
          <w:rFonts w:hint="eastAsia" w:ascii="仿宋_GB2312" w:hAnsi="仿宋_GB2312" w:eastAsia="仿宋_GB2312" w:cs="仿宋_GB2312"/>
          <w:color w:val="auto"/>
          <w:szCs w:val="32"/>
          <w:lang w:val="en-US" w:eastAsia="zh-CN"/>
        </w:rPr>
        <w:t>50</w:t>
      </w:r>
      <w:r>
        <w:rPr>
          <w:rFonts w:hint="eastAsia" w:ascii="仿宋_GB2312" w:hAnsi="仿宋_GB2312" w:eastAsia="仿宋_GB2312" w:cs="仿宋_GB2312"/>
          <w:color w:val="auto"/>
          <w:szCs w:val="32"/>
        </w:rPr>
        <w:t>%费用。</w:t>
      </w:r>
    </w:p>
    <w:p>
      <w:pPr>
        <w:spacing w:line="514" w:lineRule="exact"/>
        <w:ind w:firstLine="643" w:firstLineChars="200"/>
        <w:rPr>
          <w:rFonts w:hint="eastAsia" w:ascii="仿宋_GB2312" w:hAnsi="仿宋_GB2312" w:eastAsia="仿宋_GB2312" w:cs="仿宋_GB2312"/>
          <w:color w:val="auto"/>
          <w:szCs w:val="32"/>
        </w:rPr>
      </w:pPr>
      <w:bookmarkStart w:id="52" w:name="_Toc498001269"/>
      <w:bookmarkStart w:id="53" w:name="_Toc498001368"/>
      <w:r>
        <w:rPr>
          <w:rFonts w:hint="eastAsia" w:ascii="楷体" w:hAnsi="楷体" w:eastAsia="楷体" w:cs="楷体"/>
          <w:b/>
          <w:bCs/>
          <w:color w:val="auto"/>
          <w:szCs w:val="32"/>
        </w:rPr>
        <w:t>（</w:t>
      </w:r>
      <w:r>
        <w:rPr>
          <w:rFonts w:hint="eastAsia" w:ascii="楷体" w:hAnsi="楷体" w:eastAsia="楷体" w:cs="楷体"/>
          <w:b/>
          <w:bCs/>
          <w:color w:val="auto"/>
          <w:szCs w:val="32"/>
          <w:lang w:val="en-US" w:eastAsia="zh-CN"/>
        </w:rPr>
        <w:t>五</w:t>
      </w:r>
      <w:r>
        <w:rPr>
          <w:rFonts w:hint="eastAsia" w:ascii="楷体" w:hAnsi="楷体" w:eastAsia="楷体" w:cs="楷体"/>
          <w:b/>
          <w:bCs/>
          <w:color w:val="auto"/>
          <w:szCs w:val="32"/>
        </w:rPr>
        <w:t>）项目服务期限</w:t>
      </w:r>
      <w:bookmarkEnd w:id="41"/>
      <w:bookmarkEnd w:id="42"/>
      <w:bookmarkEnd w:id="43"/>
      <w:bookmarkEnd w:id="44"/>
      <w:bookmarkEnd w:id="45"/>
      <w:bookmarkEnd w:id="46"/>
      <w:bookmarkEnd w:id="47"/>
      <w:bookmarkEnd w:id="48"/>
      <w:bookmarkEnd w:id="49"/>
      <w:bookmarkEnd w:id="52"/>
      <w:bookmarkEnd w:id="53"/>
    </w:p>
    <w:p>
      <w:pPr>
        <w:spacing w:line="514" w:lineRule="exact"/>
        <w:ind w:firstLine="640" w:firstLineChars="200"/>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rPr>
        <w:t>项目实施期限：2024年</w:t>
      </w:r>
      <w:r>
        <w:rPr>
          <w:rFonts w:hint="eastAsia" w:ascii="仿宋_GB2312" w:hAnsi="仿宋_GB2312" w:eastAsia="仿宋_GB2312" w:cs="仿宋_GB2312"/>
          <w:color w:val="auto"/>
          <w:szCs w:val="32"/>
          <w:lang w:val="en-US" w:eastAsia="zh-CN"/>
        </w:rPr>
        <w:t>11</w:t>
      </w:r>
      <w:r>
        <w:rPr>
          <w:rFonts w:hint="eastAsia" w:ascii="仿宋_GB2312" w:hAnsi="仿宋_GB2312" w:eastAsia="仿宋_GB2312" w:cs="仿宋_GB2312"/>
          <w:color w:val="auto"/>
          <w:szCs w:val="32"/>
        </w:rPr>
        <w:t>月</w:t>
      </w:r>
      <w:r>
        <w:rPr>
          <w:rFonts w:hint="eastAsia" w:ascii="仿宋_GB2312" w:hAnsi="仿宋_GB2312" w:eastAsia="仿宋_GB2312" w:cs="仿宋_GB2312"/>
          <w:color w:val="auto"/>
          <w:szCs w:val="32"/>
          <w:lang w:val="en-US" w:eastAsia="zh-CN"/>
        </w:rPr>
        <w:t>31</w:t>
      </w:r>
      <w:r>
        <w:rPr>
          <w:rFonts w:hint="eastAsia" w:ascii="仿宋_GB2312" w:hAnsi="仿宋_GB2312" w:eastAsia="仿宋_GB2312" w:cs="仿宋_GB2312"/>
          <w:color w:val="auto"/>
          <w:szCs w:val="32"/>
        </w:rPr>
        <w:t>日</w:t>
      </w:r>
      <w:r>
        <w:rPr>
          <w:rFonts w:hint="eastAsia" w:ascii="仿宋_GB2312" w:hAnsi="仿宋_GB2312" w:eastAsia="仿宋_GB2312" w:cs="仿宋_GB2312"/>
          <w:color w:val="auto"/>
          <w:szCs w:val="32"/>
          <w:lang w:val="en-US" w:eastAsia="zh-CN"/>
        </w:rPr>
        <w:t>前完成服务，12月10日前完成验收。</w:t>
      </w:r>
    </w:p>
    <w:p>
      <w:pPr>
        <w:spacing w:line="514" w:lineRule="exact"/>
        <w:ind w:firstLine="643" w:firstLineChars="200"/>
        <w:rPr>
          <w:rFonts w:hint="eastAsia" w:ascii="楷体" w:hAnsi="楷体" w:eastAsia="楷体" w:cs="楷体"/>
          <w:b/>
          <w:bCs/>
          <w:color w:val="auto"/>
          <w:szCs w:val="32"/>
        </w:rPr>
      </w:pPr>
      <w:bookmarkStart w:id="54" w:name="_Toc450320513"/>
      <w:bookmarkStart w:id="55" w:name="_Toc498001369"/>
      <w:bookmarkStart w:id="56" w:name="_Toc430180167"/>
      <w:bookmarkStart w:id="57" w:name="_Toc419485053"/>
      <w:bookmarkStart w:id="58" w:name="_Toc455746742"/>
      <w:bookmarkStart w:id="59" w:name="_Toc498001270"/>
      <w:bookmarkStart w:id="60" w:name="_Toc421023430"/>
      <w:r>
        <w:rPr>
          <w:rFonts w:hint="eastAsia" w:ascii="楷体" w:hAnsi="楷体" w:eastAsia="楷体" w:cs="楷体"/>
          <w:b/>
          <w:bCs/>
          <w:color w:val="auto"/>
          <w:szCs w:val="32"/>
        </w:rPr>
        <w:t>（</w:t>
      </w:r>
      <w:r>
        <w:rPr>
          <w:rFonts w:hint="eastAsia" w:ascii="楷体" w:hAnsi="楷体" w:eastAsia="楷体" w:cs="楷体"/>
          <w:b/>
          <w:bCs/>
          <w:color w:val="auto"/>
          <w:szCs w:val="32"/>
          <w:lang w:val="en-US" w:eastAsia="zh-CN"/>
        </w:rPr>
        <w:t>六</w:t>
      </w:r>
      <w:r>
        <w:rPr>
          <w:rFonts w:hint="eastAsia" w:ascii="楷体" w:hAnsi="楷体" w:eastAsia="楷体" w:cs="楷体"/>
          <w:b/>
          <w:bCs/>
          <w:color w:val="auto"/>
          <w:szCs w:val="32"/>
        </w:rPr>
        <w:t>）违约责任</w:t>
      </w:r>
      <w:bookmarkEnd w:id="54"/>
      <w:bookmarkEnd w:id="55"/>
      <w:bookmarkEnd w:id="56"/>
      <w:bookmarkEnd w:id="57"/>
      <w:bookmarkEnd w:id="58"/>
      <w:bookmarkEnd w:id="59"/>
      <w:bookmarkEnd w:id="60"/>
    </w:p>
    <w:p>
      <w:pPr>
        <w:spacing w:line="514"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1.因成交供应商原因造成采购合同无法按时签订，视为成交供应商违约，成交供应商违约对采购人造成的损失的，需另行支付相应的赔偿。</w:t>
      </w:r>
    </w:p>
    <w:p>
      <w:pPr>
        <w:spacing w:line="514"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2.在签订采购合同之后，成交供应商要求解除合同的，视为成交供应商违约，对采购人造成的损失的，成交供应商需支付相应的赔偿。</w:t>
      </w:r>
    </w:p>
    <w:p>
      <w:pPr>
        <w:spacing w:line="514"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3.因成交供应商原因发生重大质量事故，除依约承担赔偿责任外，还将按有关管理办法规定执行。同时，采购人有权保留更换成交供应商的权利，并报相关行政主管部门处罚。</w:t>
      </w:r>
    </w:p>
    <w:p>
      <w:pPr>
        <w:spacing w:line="514"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给采购人造成的损失，还应承担赔偿责任。</w:t>
      </w:r>
    </w:p>
    <w:p>
      <w:pPr>
        <w:spacing w:line="514"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5.若成交供应商未能按合同规定的时间或双方另行确定的延期项目实施期限按时完成的(不可抗力除外)，每逾期一天，成交供应商应按项目金额的0.1%向采购人支付逾期的违约金。若成交供应商逾期达15天(含15天)以上的，采购人有权单方解除本合同，成交供应商应按项目总金额的30%支付违约金。若因此给采购人造成损失的，还应赔偿采购人所受的损失。</w:t>
      </w:r>
    </w:p>
    <w:p>
      <w:pPr>
        <w:spacing w:line="514"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6.成交供应商擅自转包的，采购人有权解除合同，且成交供应商应向采购人支付合同总金额20%的违约金，对采购人造成的损失的，需另行支付相应的赔偿。</w:t>
      </w:r>
    </w:p>
    <w:p>
      <w:pPr>
        <w:spacing w:line="514" w:lineRule="exact"/>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7.在明确违约责任后，成交供应商应在接到书面通知书起七天内支付违约金、赔偿金等。</w:t>
      </w:r>
    </w:p>
    <w:p>
      <w:pPr>
        <w:spacing w:line="514" w:lineRule="exact"/>
        <w:ind w:firstLine="640"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8.本次采购文件未明确的其它约定事项或条款，待采购人与成交供应商签订合同时，由双方协商订立。</w:t>
      </w:r>
      <w:bookmarkEnd w:id="36"/>
      <w:bookmarkEnd w:id="37"/>
      <w:bookmarkEnd w:id="38"/>
    </w:p>
    <w:p>
      <w:pPr>
        <w:spacing w:line="514" w:lineRule="exact"/>
        <w:jc w:val="center"/>
        <w:rPr>
          <w:rFonts w:ascii="仿宋_GB2312" w:hAnsi="仿宋_GB2312" w:eastAsia="仿宋_GB2312" w:cs="仿宋_GB2312"/>
          <w:color w:val="auto"/>
          <w:szCs w:val="32"/>
        </w:rPr>
      </w:pPr>
    </w:p>
    <w:p>
      <w:pPr>
        <w:spacing w:line="514" w:lineRule="exact"/>
        <w:jc w:val="center"/>
        <w:rPr>
          <w:rFonts w:hint="eastAsia" w:ascii="仿宋_GB2312" w:hAnsi="仿宋_GB2312" w:eastAsia="仿宋_GB2312" w:cs="仿宋_GB2312"/>
          <w:color w:val="auto"/>
          <w:szCs w:val="32"/>
        </w:rPr>
      </w:pPr>
      <w:bookmarkStart w:id="61" w:name="_GoBack"/>
      <w:bookmarkEnd w:id="61"/>
    </w:p>
    <w:p>
      <w:pPr>
        <w:rPr>
          <w:rFonts w:hint="eastAsia" w:ascii="宋体" w:hAnsi="宋体" w:eastAsia="宋体"/>
          <w:b/>
          <w:color w:val="auto"/>
          <w:sz w:val="30"/>
          <w:szCs w:val="30"/>
        </w:rPr>
      </w:pPr>
      <w:r>
        <w:rPr>
          <w:rFonts w:hint="eastAsia" w:ascii="宋体" w:hAnsi="宋体" w:eastAsia="宋体"/>
          <w:b/>
          <w:color w:val="auto"/>
          <w:sz w:val="30"/>
          <w:szCs w:val="30"/>
        </w:rPr>
        <w:br w:type="page"/>
      </w:r>
    </w:p>
    <w:p>
      <w:pPr>
        <w:rPr>
          <w:rFonts w:hint="eastAsia" w:ascii="宋体" w:hAnsi="宋体" w:eastAsia="宋体"/>
          <w:b/>
          <w:color w:val="000000"/>
          <w:sz w:val="30"/>
          <w:szCs w:val="30"/>
        </w:rPr>
      </w:pPr>
    </w:p>
    <w:p>
      <w:pPr>
        <w:numPr>
          <w:ilvl w:val="0"/>
          <w:numId w:val="1"/>
        </w:numPr>
        <w:ind w:firstLine="5060" w:firstLineChars="1400"/>
        <w:rPr>
          <w:rFonts w:hint="eastAsia" w:ascii="宋体" w:hAnsi="宋体" w:eastAsia="宋体"/>
          <w:b/>
          <w:color w:val="000000"/>
          <w:sz w:val="36"/>
          <w:szCs w:val="36"/>
        </w:rPr>
      </w:pPr>
      <w:r>
        <w:rPr>
          <w:rFonts w:ascii="宋体" w:hAnsi="宋体" w:eastAsia="宋体"/>
          <w:b/>
          <w:color w:val="000000"/>
          <w:sz w:val="36"/>
          <w:szCs w:val="36"/>
        </w:rPr>
        <w:t>项目</w:t>
      </w:r>
      <w:r>
        <w:rPr>
          <w:rFonts w:hint="eastAsia" w:ascii="宋体" w:hAnsi="宋体" w:eastAsia="宋体"/>
          <w:b/>
          <w:color w:val="000000"/>
          <w:sz w:val="36"/>
          <w:szCs w:val="36"/>
        </w:rPr>
        <w:t>评分表</w:t>
      </w:r>
    </w:p>
    <w:p>
      <w:pPr>
        <w:numPr>
          <w:ilvl w:val="0"/>
          <w:numId w:val="0"/>
        </w:numPr>
        <w:rPr>
          <w:rFonts w:hint="eastAsia" w:ascii="宋体" w:hAnsi="宋体" w:eastAsia="宋体"/>
          <w:b/>
          <w:color w:val="000000"/>
          <w:sz w:val="36"/>
          <w:szCs w:val="36"/>
        </w:rPr>
      </w:pPr>
    </w:p>
    <w:tbl>
      <w:tblPr>
        <w:tblStyle w:val="5"/>
        <w:tblW w:w="1238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767"/>
        <w:gridCol w:w="1656"/>
        <w:gridCol w:w="59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512" w:hRule="atLeast"/>
        </w:trPr>
        <w:tc>
          <w:tcPr>
            <w:tcW w:w="12384" w:type="dxa"/>
            <w:gridSpan w:val="3"/>
          </w:tcPr>
          <w:p>
            <w:pPr>
              <w:pStyle w:val="6"/>
              <w:jc w:val="both"/>
              <w:rPr>
                <w:sz w:val="32"/>
                <w:szCs w:val="32"/>
              </w:rPr>
            </w:pPr>
            <w:r>
              <w:rPr>
                <w:rFonts w:hint="eastAsia"/>
                <w:b/>
                <w:sz w:val="32"/>
                <w:szCs w:val="32"/>
                <w:lang w:eastAsia="zh-CN"/>
              </w:rPr>
              <w:t>技术</w:t>
            </w:r>
            <w:r>
              <w:rPr>
                <w:b/>
                <w:sz w:val="32"/>
                <w:szCs w:val="32"/>
              </w:rPr>
              <w:t>项</w:t>
            </w:r>
            <w:r>
              <w:rPr>
                <w:rFonts w:hint="eastAsia"/>
                <w:b/>
                <w:sz w:val="32"/>
                <w:szCs w:val="32"/>
                <w:lang w:val="en-US" w:eastAsia="zh-CN"/>
              </w:rPr>
              <w:t xml:space="preserve">  </w:t>
            </w:r>
            <w:r>
              <w:rPr>
                <w:b/>
                <w:sz w:val="32"/>
                <w:szCs w:val="32"/>
              </w:rPr>
              <w:t>满分为</w:t>
            </w:r>
            <w:r>
              <w:rPr>
                <w:rFonts w:hint="eastAsia"/>
                <w:b/>
                <w:sz w:val="32"/>
                <w:szCs w:val="32"/>
                <w:lang w:val="en-US" w:eastAsia="zh-CN"/>
              </w:rPr>
              <w:t>60</w:t>
            </w:r>
            <w:r>
              <w:rPr>
                <w:b/>
                <w:sz w:val="32"/>
                <w:szCs w:val="32"/>
              </w:rPr>
              <w:t>.00分</w:t>
            </w:r>
          </w:p>
          <w:p>
            <w:pPr>
              <w:pStyle w:val="6"/>
              <w:jc w:val="both"/>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66" w:hRule="atLeast"/>
        </w:trPr>
        <w:tc>
          <w:tcPr>
            <w:tcW w:w="4767" w:type="dxa"/>
          </w:tcPr>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项目</w:t>
            </w:r>
          </w:p>
        </w:tc>
        <w:tc>
          <w:tcPr>
            <w:tcW w:w="1656" w:type="dxa"/>
          </w:tcPr>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分值</w:t>
            </w:r>
          </w:p>
        </w:tc>
        <w:tc>
          <w:tcPr>
            <w:tcW w:w="5961" w:type="dxa"/>
          </w:tcPr>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313" w:hRule="atLeast"/>
        </w:trPr>
        <w:tc>
          <w:tcPr>
            <w:tcW w:w="4767" w:type="dxa"/>
          </w:tcPr>
          <w:p>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技术服务要求响应情况</w:t>
            </w:r>
          </w:p>
        </w:tc>
        <w:tc>
          <w:tcPr>
            <w:tcW w:w="1656" w:type="dxa"/>
          </w:tcPr>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39</w:t>
            </w:r>
            <w:r>
              <w:rPr>
                <w:rFonts w:hint="eastAsia" w:ascii="仿宋_GB2312" w:hAnsi="仿宋_GB2312" w:eastAsia="仿宋_GB2312" w:cs="仿宋_GB2312"/>
                <w:szCs w:val="32"/>
              </w:rPr>
              <w:t>.00</w:t>
            </w:r>
          </w:p>
        </w:tc>
        <w:tc>
          <w:tcPr>
            <w:tcW w:w="5961" w:type="dxa"/>
          </w:tcPr>
          <w:p>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根据供应商对磋商文件“二、项目内容及具体要求”各项技术要求及服务要求的逐项应答情况并结合相关佐证材料（若有）进行评分：完全满足磋商文件要求得 39 分，每负偏离一项扣 3分；正偏离不加分。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837" w:hRule="atLeast"/>
        </w:trPr>
        <w:tc>
          <w:tcPr>
            <w:tcW w:w="4767" w:type="dxa"/>
          </w:tcPr>
          <w:p>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媒体推广方案</w:t>
            </w:r>
          </w:p>
        </w:tc>
        <w:tc>
          <w:tcPr>
            <w:tcW w:w="1656" w:type="dxa"/>
          </w:tcPr>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3.00</w:t>
            </w:r>
          </w:p>
        </w:tc>
        <w:tc>
          <w:tcPr>
            <w:tcW w:w="5961" w:type="dxa"/>
          </w:tcPr>
          <w:p>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根据供应商提供的媒体宣传计划是否合理全面、能否最大程度满足项目需求，由评委进行评议：推广方案科学、合理、可行的得3分；推广方案较完善、创意性较好、但内容一般的得2分；推广方案安排不够合理性、创意性差、活动内容不太丰富的得1分，未提供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837" w:hRule="atLeast"/>
        </w:trPr>
        <w:tc>
          <w:tcPr>
            <w:tcW w:w="4767" w:type="dxa"/>
          </w:tcPr>
          <w:p>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媒体资源</w:t>
            </w:r>
          </w:p>
        </w:tc>
        <w:tc>
          <w:tcPr>
            <w:tcW w:w="1656" w:type="dxa"/>
          </w:tcPr>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3.00</w:t>
            </w:r>
          </w:p>
        </w:tc>
        <w:tc>
          <w:tcPr>
            <w:tcW w:w="5961" w:type="dxa"/>
          </w:tcPr>
          <w:p>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根据投标人提供的媒体资源情况，在</w:t>
            </w:r>
            <w:r>
              <w:rPr>
                <w:rFonts w:hint="eastAsia" w:ascii="仿宋_GB2312" w:hAnsi="仿宋_GB2312" w:eastAsia="仿宋_GB2312" w:cs="仿宋_GB2312"/>
                <w:szCs w:val="32"/>
                <w:lang w:eastAsia="zh-CN"/>
              </w:rPr>
              <w:t>省</w:t>
            </w:r>
            <w:r>
              <w:rPr>
                <w:rFonts w:hint="eastAsia" w:ascii="仿宋_GB2312" w:hAnsi="仿宋_GB2312" w:eastAsia="仿宋_GB2312" w:cs="仿宋_GB2312"/>
                <w:szCs w:val="32"/>
              </w:rPr>
              <w:t>级</w:t>
            </w:r>
            <w:r>
              <w:rPr>
                <w:rFonts w:hint="eastAsia" w:ascii="仿宋_GB2312" w:hAnsi="仿宋_GB2312" w:eastAsia="仿宋_GB2312" w:cs="仿宋_GB2312"/>
                <w:szCs w:val="32"/>
                <w:lang w:eastAsia="zh-CN"/>
              </w:rPr>
              <w:t>及以上</w:t>
            </w:r>
            <w:r>
              <w:rPr>
                <w:rFonts w:hint="eastAsia" w:ascii="仿宋_GB2312" w:hAnsi="仿宋_GB2312" w:eastAsia="仿宋_GB2312" w:cs="仿宋_GB2312"/>
                <w:szCs w:val="32"/>
              </w:rPr>
              <w:t>主流媒体的网站、官微上进行推广</w:t>
            </w:r>
            <w:r>
              <w:rPr>
                <w:rFonts w:hint="eastAsia" w:ascii="仿宋_GB2312" w:hAnsi="仿宋_GB2312" w:eastAsia="仿宋_GB2312" w:cs="仿宋_GB2312"/>
                <w:szCs w:val="32"/>
                <w:lang w:eastAsia="zh-CN"/>
              </w:rPr>
              <w:t>，在</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lang w:eastAsia="zh-CN"/>
              </w:rPr>
              <w:t>家及以上</w:t>
            </w:r>
            <w:r>
              <w:rPr>
                <w:rFonts w:hint="eastAsia" w:ascii="仿宋_GB2312" w:hAnsi="仿宋_GB2312" w:eastAsia="仿宋_GB2312" w:cs="仿宋_GB2312"/>
                <w:szCs w:val="32"/>
              </w:rPr>
              <w:t>媒体平台</w:t>
            </w:r>
            <w:r>
              <w:rPr>
                <w:rFonts w:hint="eastAsia" w:ascii="仿宋_GB2312" w:hAnsi="仿宋_GB2312" w:eastAsia="仿宋_GB2312" w:cs="仿宋_GB2312"/>
                <w:szCs w:val="32"/>
                <w:lang w:eastAsia="zh-CN"/>
              </w:rPr>
              <w:t>进行推广</w:t>
            </w:r>
            <w:r>
              <w:rPr>
                <w:rFonts w:hint="eastAsia" w:ascii="仿宋_GB2312" w:hAnsi="仿宋_GB2312" w:eastAsia="仿宋_GB2312" w:cs="仿宋_GB2312"/>
                <w:szCs w:val="32"/>
              </w:rPr>
              <w:t>得</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分，</w:t>
            </w:r>
            <w:r>
              <w:rPr>
                <w:rFonts w:hint="eastAsia" w:ascii="仿宋_GB2312" w:hAnsi="仿宋_GB2312" w:eastAsia="仿宋_GB2312" w:cs="仿宋_GB2312"/>
                <w:szCs w:val="32"/>
                <w:lang w:eastAsia="zh-CN"/>
              </w:rPr>
              <w:t>在</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lang w:eastAsia="zh-CN"/>
              </w:rPr>
              <w:t>家</w:t>
            </w:r>
            <w:r>
              <w:rPr>
                <w:rFonts w:hint="eastAsia" w:ascii="仿宋_GB2312" w:hAnsi="仿宋_GB2312" w:eastAsia="仿宋_GB2312" w:cs="仿宋_GB2312"/>
                <w:szCs w:val="32"/>
              </w:rPr>
              <w:t>媒体平台</w:t>
            </w:r>
            <w:r>
              <w:rPr>
                <w:rFonts w:hint="eastAsia" w:ascii="仿宋_GB2312" w:hAnsi="仿宋_GB2312" w:eastAsia="仿宋_GB2312" w:cs="仿宋_GB2312"/>
                <w:szCs w:val="32"/>
                <w:lang w:eastAsia="zh-CN"/>
              </w:rPr>
              <w:t>进行推广</w:t>
            </w:r>
            <w:r>
              <w:rPr>
                <w:rFonts w:hint="eastAsia" w:ascii="仿宋_GB2312" w:hAnsi="仿宋_GB2312" w:eastAsia="仿宋_GB2312" w:cs="仿宋_GB2312"/>
                <w:szCs w:val="32"/>
              </w:rPr>
              <w:t>得</w:t>
            </w:r>
            <w:r>
              <w:rPr>
                <w:rFonts w:hint="eastAsia" w:ascii="仿宋_GB2312" w:hAnsi="仿宋_GB2312" w:eastAsia="仿宋_GB2312" w:cs="仿宋_GB2312"/>
                <w:szCs w:val="32"/>
                <w:lang w:val="en-US" w:eastAsia="zh-CN"/>
              </w:rPr>
              <w:t>1.5</w:t>
            </w:r>
            <w:r>
              <w:rPr>
                <w:rFonts w:hint="eastAsia" w:ascii="仿宋_GB2312" w:hAnsi="仿宋_GB2312" w:eastAsia="仿宋_GB2312" w:cs="仿宋_GB2312"/>
                <w:szCs w:val="32"/>
              </w:rPr>
              <w:t>分，</w:t>
            </w:r>
            <w:r>
              <w:rPr>
                <w:rFonts w:hint="eastAsia" w:ascii="仿宋_GB2312" w:hAnsi="仿宋_GB2312" w:eastAsia="仿宋_GB2312" w:cs="仿宋_GB2312"/>
                <w:szCs w:val="32"/>
                <w:lang w:eastAsia="zh-CN"/>
              </w:rPr>
              <w:t>在</w:t>
            </w:r>
            <w:r>
              <w:rPr>
                <w:rFonts w:hint="eastAsia" w:ascii="仿宋_GB2312" w:hAnsi="仿宋_GB2312" w:eastAsia="仿宋_GB2312" w:cs="仿宋_GB2312"/>
                <w:szCs w:val="32"/>
                <w:lang w:val="en-US" w:eastAsia="zh-CN"/>
              </w:rPr>
              <w:t>1家媒体平台进行推广得0.5分，</w:t>
            </w:r>
            <w:r>
              <w:rPr>
                <w:rFonts w:hint="eastAsia" w:ascii="仿宋_GB2312" w:hAnsi="仿宋_GB2312" w:eastAsia="仿宋_GB2312" w:cs="仿宋_GB2312"/>
                <w:szCs w:val="32"/>
                <w:lang w:eastAsia="zh-CN"/>
              </w:rPr>
              <w:t>未提供的不得分，</w:t>
            </w:r>
            <w:r>
              <w:rPr>
                <w:rFonts w:hint="eastAsia" w:ascii="仿宋_GB2312" w:hAnsi="仿宋_GB2312" w:eastAsia="仿宋_GB2312" w:cs="仿宋_GB2312"/>
                <w:szCs w:val="32"/>
              </w:rPr>
              <w:t>满分</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分。须提供</w:t>
            </w:r>
            <w:r>
              <w:rPr>
                <w:rFonts w:hint="eastAsia" w:ascii="仿宋_GB2312" w:hAnsi="仿宋_GB2312" w:eastAsia="仿宋_GB2312" w:cs="仿宋_GB2312"/>
                <w:szCs w:val="32"/>
                <w:lang w:eastAsia="zh-CN"/>
              </w:rPr>
              <w:t>省级及以上</w:t>
            </w:r>
            <w:r>
              <w:rPr>
                <w:rFonts w:hint="eastAsia" w:ascii="仿宋_GB2312" w:hAnsi="仿宋_GB2312" w:eastAsia="仿宋_GB2312" w:cs="仿宋_GB2312"/>
                <w:szCs w:val="32"/>
              </w:rPr>
              <w:t>媒体平台</w:t>
            </w:r>
            <w:r>
              <w:rPr>
                <w:rFonts w:hint="eastAsia" w:ascii="仿宋_GB2312" w:hAnsi="仿宋_GB2312" w:eastAsia="仿宋_GB2312" w:cs="仿宋_GB2312"/>
                <w:szCs w:val="32"/>
                <w:lang w:eastAsia="zh-CN"/>
              </w:rPr>
              <w:t>推广</w:t>
            </w:r>
            <w:r>
              <w:rPr>
                <w:rFonts w:hint="eastAsia" w:ascii="仿宋_GB2312" w:hAnsi="仿宋_GB2312" w:eastAsia="仿宋_GB2312" w:cs="仿宋_GB2312"/>
                <w:szCs w:val="32"/>
              </w:rPr>
              <w:t>合作</w:t>
            </w:r>
            <w:r>
              <w:rPr>
                <w:rFonts w:hint="eastAsia" w:ascii="仿宋_GB2312" w:hAnsi="仿宋_GB2312" w:eastAsia="仿宋_GB2312" w:cs="仿宋_GB2312"/>
                <w:szCs w:val="32"/>
                <w:lang w:eastAsia="zh-CN"/>
              </w:rPr>
              <w:t>案例</w:t>
            </w:r>
            <w:r>
              <w:rPr>
                <w:rFonts w:hint="eastAsia" w:ascii="仿宋_GB2312" w:hAnsi="仿宋_GB2312" w:eastAsia="仿宋_GB2312" w:cs="仿宋_GB2312"/>
                <w:szCs w:val="32"/>
              </w:rPr>
              <w:t>，未提供或不符合媒体要求的不得分。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575" w:hRule="atLeast"/>
        </w:trPr>
        <w:tc>
          <w:tcPr>
            <w:tcW w:w="4767" w:type="dxa"/>
          </w:tcPr>
          <w:p>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应急处理预案及舆情监督方案</w:t>
            </w:r>
          </w:p>
        </w:tc>
        <w:tc>
          <w:tcPr>
            <w:tcW w:w="1656" w:type="dxa"/>
          </w:tcPr>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3.00</w:t>
            </w:r>
          </w:p>
        </w:tc>
        <w:tc>
          <w:tcPr>
            <w:tcW w:w="5961" w:type="dxa"/>
          </w:tcPr>
          <w:p>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根据各投标人所提供的各类事件的应急处理预案及舆情监督方案是否能有效规避负面舆情影响情况，由评委进行打分：方案详细周全，措施到位且能很好的有效规避负面舆情影响、确保所提供的服务满足现实服务需求的得3分；方案较为周全且措施力度且能较好的规避负面舆情影响、满足现实服务需求的得2分；方案有所欠缺或措施力度一般但能基本能规避负面舆情影响、满足现实服务需求的得1分；方案明显不符合本项目或缺乏实质性内容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99" w:hRule="atLeast"/>
        </w:trPr>
        <w:tc>
          <w:tcPr>
            <w:tcW w:w="4767" w:type="dxa"/>
          </w:tcPr>
          <w:p>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项目质量承诺和保障措施</w:t>
            </w:r>
          </w:p>
        </w:tc>
        <w:tc>
          <w:tcPr>
            <w:tcW w:w="1656" w:type="dxa"/>
          </w:tcPr>
          <w:p>
            <w:pPr>
              <w:spacing w:line="514"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3.00</w:t>
            </w:r>
          </w:p>
        </w:tc>
        <w:tc>
          <w:tcPr>
            <w:tcW w:w="5961" w:type="dxa"/>
          </w:tcPr>
          <w:p>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rPr>
              <w:t>根据投标人针对本项目完成质量的承诺及保障措施情况，由评委进行打分：整体方案完整且合理可行能很好的确保所提供的服务满足现实服务需求的得3分；整体方案较完整、较为合理可行能满足现实服务需求的得2分；整体方案简略粗糙或具体措施力度一般但能满足现实服务需求的得1分；方案明显不符合本项目或缺乏实质性内容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842" w:hRule="atLeast"/>
        </w:trPr>
        <w:tc>
          <w:tcPr>
            <w:tcW w:w="4767" w:type="dxa"/>
            <w:shd w:val="clear" w:color="auto" w:fill="auto"/>
            <w:vAlign w:val="top"/>
          </w:tcPr>
          <w:p>
            <w:pPr>
              <w:spacing w:line="514" w:lineRule="exact"/>
              <w:rPr>
                <w:rFonts w:hint="eastAsia" w:ascii="仿宋_GB2312" w:hAnsi="仿宋_GB2312" w:eastAsia="仿宋_GB2312" w:cs="仿宋_GB2312"/>
                <w:szCs w:val="32"/>
                <w:lang w:val="en-US" w:eastAsia="zh-Hans"/>
              </w:rPr>
            </w:pPr>
            <w:r>
              <w:rPr>
                <w:rFonts w:hint="eastAsia" w:ascii="仿宋_GB2312" w:hAnsi="仿宋_GB2312" w:eastAsia="仿宋_GB2312" w:cs="仿宋_GB2312"/>
                <w:szCs w:val="32"/>
              </w:rPr>
              <w:t>服务响应承诺</w:t>
            </w:r>
          </w:p>
        </w:tc>
        <w:tc>
          <w:tcPr>
            <w:tcW w:w="1656" w:type="dxa"/>
            <w:shd w:val="clear" w:color="auto" w:fill="auto"/>
            <w:vAlign w:val="top"/>
          </w:tcPr>
          <w:p>
            <w:pPr>
              <w:spacing w:line="514" w:lineRule="exact"/>
              <w:ind w:firstLine="640" w:firstLineChars="200"/>
              <w:rPr>
                <w:rFonts w:hint="eastAsia" w:ascii="仿宋_GB2312" w:hAnsi="仿宋_GB2312" w:eastAsia="仿宋_GB2312" w:cs="仿宋_GB2312"/>
                <w:szCs w:val="32"/>
                <w:lang w:val="en-US" w:eastAsia="zh-Hans"/>
              </w:rPr>
            </w:pPr>
            <w:r>
              <w:rPr>
                <w:rFonts w:hint="eastAsia" w:ascii="仿宋_GB2312" w:hAnsi="仿宋_GB2312" w:eastAsia="仿宋_GB2312" w:cs="仿宋_GB2312"/>
                <w:szCs w:val="32"/>
              </w:rPr>
              <w:t>3.00</w:t>
            </w:r>
          </w:p>
        </w:tc>
        <w:tc>
          <w:tcPr>
            <w:tcW w:w="5961" w:type="dxa"/>
            <w:shd w:val="clear" w:color="auto" w:fill="auto"/>
            <w:vAlign w:val="top"/>
          </w:tcPr>
          <w:p>
            <w:pPr>
              <w:spacing w:line="514" w:lineRule="exact"/>
              <w:rPr>
                <w:rFonts w:hint="eastAsia" w:ascii="仿宋_GB2312" w:hAnsi="仿宋_GB2312" w:eastAsia="仿宋_GB2312" w:cs="仿宋_GB2312"/>
                <w:szCs w:val="32"/>
                <w:lang w:val="en-US" w:eastAsia="zh-Hans"/>
              </w:rPr>
            </w:pPr>
            <w:r>
              <w:rPr>
                <w:rFonts w:hint="eastAsia" w:ascii="仿宋_GB2312" w:hAnsi="仿宋_GB2312" w:eastAsia="仿宋_GB2312" w:cs="仿宋_GB2312"/>
                <w:szCs w:val="32"/>
              </w:rPr>
              <w:t>根据投标人接到采购人应急事件通知的响应时间承诺进行评分：响应时间＜30分钟的得3分，30分钟≤响应时间＜45分钟的得2分，45分钟≤响应时间≤1小时得1分，响应时间＞1小时的不得分（响应时间接到接到采购人应急事件通知到指派专人到达采购人地址所需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842" w:hRule="atLeast"/>
        </w:trPr>
        <w:tc>
          <w:tcPr>
            <w:tcW w:w="4767" w:type="dxa"/>
            <w:shd w:val="clear" w:color="auto" w:fill="auto"/>
            <w:vAlign w:val="top"/>
          </w:tcPr>
          <w:p>
            <w:pPr>
              <w:spacing w:line="514" w:lineRule="exact"/>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val="en-US" w:eastAsia="zh-CN"/>
              </w:rPr>
              <w:t>内容发布</w:t>
            </w:r>
            <w:r>
              <w:rPr>
                <w:rFonts w:hint="eastAsia" w:ascii="仿宋_GB2312" w:hAnsi="仿宋_GB2312" w:eastAsia="仿宋_GB2312" w:cs="仿宋_GB2312"/>
                <w:szCs w:val="32"/>
                <w:lang w:eastAsia="zh-CN"/>
              </w:rPr>
              <w:t>管理方案</w:t>
            </w:r>
          </w:p>
        </w:tc>
        <w:tc>
          <w:tcPr>
            <w:tcW w:w="1656" w:type="dxa"/>
            <w:shd w:val="clear" w:color="auto" w:fill="auto"/>
            <w:vAlign w:val="top"/>
          </w:tcPr>
          <w:p>
            <w:pPr>
              <w:spacing w:line="514" w:lineRule="exact"/>
              <w:ind w:firstLine="640"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61" w:type="dxa"/>
            <w:shd w:val="clear" w:color="auto" w:fill="auto"/>
            <w:vAlign w:val="top"/>
          </w:tcPr>
          <w:p>
            <w:pPr>
              <w:spacing w:line="514" w:lineRule="exact"/>
              <w:rPr>
                <w:rFonts w:hint="eastAsia" w:ascii="仿宋_GB2312" w:hAnsi="仿宋_GB2312" w:eastAsia="仿宋_GB2312" w:cs="仿宋_GB2312"/>
                <w:szCs w:val="32"/>
              </w:rPr>
            </w:pPr>
            <w:r>
              <w:rPr>
                <w:rFonts w:hint="eastAsia" w:ascii="仿宋_GB2312" w:hAnsi="仿宋_GB2312" w:eastAsia="仿宋_GB2312" w:cs="仿宋_GB2312"/>
                <w:szCs w:val="32"/>
                <w:lang w:eastAsia="zh-CN"/>
              </w:rPr>
              <w:t>根据供应商针对本项目制定媒体内容采编发布“三审制”和“三校一读”管理办法，方案科学、合理、可操作性强的得3分；内容较具体或部分可操作性强的得2分；描述简单或可操作性不强的得1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842" w:hRule="atLeast"/>
        </w:trPr>
        <w:tc>
          <w:tcPr>
            <w:tcW w:w="4767" w:type="dxa"/>
            <w:shd w:val="clear" w:color="auto" w:fill="auto"/>
            <w:vAlign w:val="center"/>
          </w:tcPr>
          <w:p>
            <w:pPr>
              <w:spacing w:line="514" w:lineRule="exact"/>
              <w:rPr>
                <w:rFonts w:hint="default" w:ascii="仿宋_GB2312" w:hAnsi="仿宋_GB2312" w:eastAsia="仿宋_GB2312" w:cs="仿宋_GB2312"/>
                <w:color w:val="FF0000"/>
                <w:szCs w:val="32"/>
                <w:lang w:val="en-US" w:eastAsia="zh-CN"/>
              </w:rPr>
            </w:pPr>
            <w:r>
              <w:rPr>
                <w:rFonts w:hint="eastAsia" w:ascii="仿宋_GB2312" w:hAnsi="仿宋_GB2312" w:eastAsia="仿宋_GB2312" w:cs="仿宋_GB2312"/>
                <w:szCs w:val="32"/>
                <w:lang w:val="en-US" w:eastAsia="zh-CN"/>
              </w:rPr>
              <w:t>项目保密承诺</w:t>
            </w:r>
          </w:p>
        </w:tc>
        <w:tc>
          <w:tcPr>
            <w:tcW w:w="1656" w:type="dxa"/>
            <w:shd w:val="clear" w:color="auto" w:fill="auto"/>
            <w:vAlign w:val="center"/>
          </w:tcPr>
          <w:p>
            <w:pPr>
              <w:spacing w:line="514" w:lineRule="exact"/>
              <w:ind w:firstLine="640" w:firstLineChars="200"/>
              <w:rPr>
                <w:rFonts w:hint="default" w:ascii="仿宋_GB2312" w:hAnsi="仿宋_GB2312" w:eastAsia="仿宋_GB2312" w:cs="仿宋_GB2312"/>
                <w:color w:val="FF0000"/>
                <w:szCs w:val="32"/>
                <w:lang w:val="en-US" w:eastAsia="zh-CN"/>
              </w:rPr>
            </w:pPr>
            <w:r>
              <w:rPr>
                <w:rFonts w:hint="eastAsia" w:ascii="仿宋_GB2312" w:hAnsi="仿宋_GB2312" w:eastAsia="仿宋_GB2312" w:cs="仿宋_GB2312"/>
                <w:szCs w:val="32"/>
                <w:lang w:val="en-US" w:eastAsia="zh-CN"/>
              </w:rPr>
              <w:t>3.00</w:t>
            </w:r>
          </w:p>
        </w:tc>
        <w:tc>
          <w:tcPr>
            <w:tcW w:w="5961" w:type="dxa"/>
            <w:shd w:val="clear" w:color="auto" w:fill="auto"/>
            <w:vAlign w:val="center"/>
          </w:tcPr>
          <w:p>
            <w:pPr>
              <w:spacing w:line="514" w:lineRule="exact"/>
              <w:ind w:firstLine="640" w:firstLineChars="200"/>
              <w:rPr>
                <w:rFonts w:hint="eastAsia" w:ascii="仿宋_GB2312" w:hAnsi="仿宋_GB2312" w:eastAsia="仿宋_GB2312" w:cs="仿宋_GB2312"/>
                <w:color w:val="FF0000"/>
                <w:szCs w:val="32"/>
                <w:lang w:val="en-US" w:eastAsia="zh-CN"/>
              </w:rPr>
            </w:pPr>
            <w:r>
              <w:rPr>
                <w:rFonts w:hint="eastAsia" w:ascii="仿宋_GB2312" w:hAnsi="仿宋_GB2312" w:eastAsia="仿宋_GB2312" w:cs="仿宋_GB2312"/>
                <w:szCs w:val="32"/>
                <w:lang w:val="en-US" w:eastAsia="zh-CN"/>
              </w:rPr>
              <w:t>供应商承诺为保证信息安全，为本项目配备专项项目管理人员得3分，须提供书面承诺，格式自拟，未提供不得分。</w:t>
            </w:r>
          </w:p>
        </w:tc>
      </w:tr>
    </w:tbl>
    <w:p>
      <w:pPr>
        <w:pStyle w:val="6"/>
        <w:jc w:val="both"/>
        <w:rPr>
          <w:b/>
          <w:color w:val="auto"/>
          <w:sz w:val="32"/>
          <w:szCs w:val="32"/>
        </w:rPr>
      </w:pPr>
    </w:p>
    <w:p>
      <w:pPr>
        <w:pStyle w:val="6"/>
        <w:jc w:val="both"/>
        <w:rPr>
          <w:b/>
          <w:color w:val="auto"/>
          <w:sz w:val="32"/>
          <w:szCs w:val="32"/>
        </w:rPr>
      </w:pPr>
    </w:p>
    <w:p>
      <w:pPr>
        <w:pStyle w:val="6"/>
        <w:jc w:val="both"/>
        <w:rPr>
          <w:color w:val="auto"/>
          <w:sz w:val="32"/>
          <w:szCs w:val="32"/>
        </w:rPr>
      </w:pPr>
      <w:r>
        <w:rPr>
          <w:b/>
          <w:color w:val="auto"/>
          <w:sz w:val="32"/>
          <w:szCs w:val="32"/>
        </w:rPr>
        <w:t>商务项（F3×A3）满分为</w:t>
      </w:r>
      <w:r>
        <w:rPr>
          <w:rFonts w:hint="eastAsia"/>
          <w:b/>
          <w:color w:val="auto"/>
          <w:sz w:val="32"/>
          <w:szCs w:val="32"/>
          <w:lang w:val="en-US" w:eastAsia="zh-CN"/>
        </w:rPr>
        <w:t>30</w:t>
      </w:r>
      <w:r>
        <w:rPr>
          <w:b/>
          <w:color w:val="auto"/>
          <w:sz w:val="32"/>
          <w:szCs w:val="32"/>
        </w:rPr>
        <w:t>.00分</w:t>
      </w:r>
    </w:p>
    <w:tbl>
      <w:tblPr>
        <w:tblStyle w:val="5"/>
        <w:tblW w:w="122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783"/>
        <w:gridCol w:w="1496"/>
        <w:gridCol w:w="59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13" w:hRule="atLeast"/>
        </w:trPr>
        <w:tc>
          <w:tcPr>
            <w:tcW w:w="4783"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项目</w:t>
            </w:r>
          </w:p>
        </w:tc>
        <w:tc>
          <w:tcPr>
            <w:tcW w:w="1496"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分值</w:t>
            </w:r>
          </w:p>
        </w:tc>
        <w:tc>
          <w:tcPr>
            <w:tcW w:w="5980"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64" w:hRule="atLeast"/>
        </w:trPr>
        <w:tc>
          <w:tcPr>
            <w:tcW w:w="4783"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项目团队</w:t>
            </w:r>
          </w:p>
        </w:tc>
        <w:tc>
          <w:tcPr>
            <w:tcW w:w="1496"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投标人投入的服务团队具备采编资格证或记者证，每提供一本得1分，满分3分。需提供相关证书复印件、身份证复印件及提供提交响应文件截止时间前六个月（不含提交响应文件截止时间的当月）中任一月份供应商为缴纳的社会保障资金缴纳凭据复印件，未提供或提供不完整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630" w:hRule="atLeast"/>
        </w:trPr>
        <w:tc>
          <w:tcPr>
            <w:tcW w:w="4783"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项目负责人</w:t>
            </w:r>
          </w:p>
        </w:tc>
        <w:tc>
          <w:tcPr>
            <w:tcW w:w="1496"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投标人拟为本项目拟配置项目负责人，具有汉语言文学、新闻学、传播学、编导等相关专业大学本科及以上学历，具有5年以上宣传工作经验（提供个人简历），且具备中级职称的，都不具备以上条件不得分。需提供相关人员学历证书、职称证书或职称证明文件及身份证等复印件，提供不全的本项不得分。以及响应截止日期前6个月内任3个月（不含响应截止时间当月）供应商为其缴纳社保的证明材料复印件，得3分。未提供或提供不全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256" w:hRule="atLeast"/>
        </w:trPr>
        <w:tc>
          <w:tcPr>
            <w:tcW w:w="4783"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人员配备</w:t>
            </w:r>
          </w:p>
        </w:tc>
        <w:tc>
          <w:tcPr>
            <w:tcW w:w="1496"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投标人投入的服务团队具备采编类高级职称，每提供一本得2分，中级职称每提供一本得1分，满分3分。需提供技术专业证书复印件或相关证明文件。未按上述要求提供证明材料或所提供的证明材料无法明确体现、佐证以上内容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39" w:hRule="atLeast"/>
        </w:trPr>
        <w:tc>
          <w:tcPr>
            <w:tcW w:w="4783"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综合实力1</w:t>
            </w:r>
          </w:p>
        </w:tc>
        <w:tc>
          <w:tcPr>
            <w:tcW w:w="1496"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供应商具有中央媒体资质的得3分，具有省级媒体资质的得2分，具有市级媒体资质的得1分，需提供有效期内的证明材料。未提供的不得分。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839" w:hRule="atLeast"/>
        </w:trPr>
        <w:tc>
          <w:tcPr>
            <w:tcW w:w="4783"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综合实力2</w:t>
            </w:r>
          </w:p>
        </w:tc>
        <w:tc>
          <w:tcPr>
            <w:tcW w:w="1496"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供应商具有互联网新闻信息服务单位许可信息资质、信息网络传播视听节目许可证或所属新闻单位信息网络传播视听节目许可证。提供有效期内的证书复印件。未提供的不得分。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256" w:hRule="atLeast"/>
        </w:trPr>
        <w:tc>
          <w:tcPr>
            <w:tcW w:w="4783"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作品案例1</w:t>
            </w:r>
          </w:p>
        </w:tc>
        <w:tc>
          <w:tcPr>
            <w:tcW w:w="1496"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拟投入本项目的团队人员在CN刊物上公开发表的文章，每提供3篇文章得1份，满分3分。需提供相关刊物复印件（刊物封面、文章内容页）及报价截止时间前6个月任一月（不含投标截止时间当月）投标人为其缴纳的社保证明材料并加盖投标人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047" w:hRule="atLeast"/>
        </w:trPr>
        <w:tc>
          <w:tcPr>
            <w:tcW w:w="4783" w:type="dxa"/>
          </w:tcPr>
          <w:p>
            <w:pPr>
              <w:spacing w:line="514" w:lineRule="exact"/>
              <w:ind w:firstLine="640"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获奖情况1</w:t>
            </w:r>
          </w:p>
        </w:tc>
        <w:tc>
          <w:tcPr>
            <w:tcW w:w="1496"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根据供应商提供的制作团队或主创人员获奖情况（新闻类奖项作品），由磋商小组进行评分：获得省级及以上新闻类奖项作品，每提供1份得1分，满分3分。须提供获奖证书复印件，未提供不得分。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047" w:hRule="atLeast"/>
        </w:trPr>
        <w:tc>
          <w:tcPr>
            <w:tcW w:w="4783" w:type="dxa"/>
          </w:tcPr>
          <w:p>
            <w:pPr>
              <w:spacing w:line="514" w:lineRule="exact"/>
              <w:ind w:firstLine="640"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获奖情况2</w:t>
            </w:r>
          </w:p>
        </w:tc>
        <w:tc>
          <w:tcPr>
            <w:tcW w:w="1496" w:type="dxa"/>
          </w:tcPr>
          <w:p>
            <w:pPr>
              <w:spacing w:line="514" w:lineRule="exact"/>
              <w:ind w:firstLine="640"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根据供应商提供的视频类作品的获奖情况，由磋商小组进行评分：制作作品获得全国性视频类奖项的得3分；省级视频类奖项的得2分；市级视频类奖项的得1分，满分3分。须提供获奖证书及相关证明（如该作品为委托制作的，则还须提供委托制作的合同复印件），未提供或不符合要求的本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256" w:hRule="atLeast"/>
        </w:trPr>
        <w:tc>
          <w:tcPr>
            <w:tcW w:w="4783" w:type="dxa"/>
            <w:vAlign w:val="top"/>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经验</w:t>
            </w:r>
          </w:p>
        </w:tc>
        <w:tc>
          <w:tcPr>
            <w:tcW w:w="1496" w:type="dxa"/>
            <w:vAlign w:val="top"/>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vAlign w:val="top"/>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供应商提供自2021年1月1日（日期以合同签订时间为准）起至递交首次响应文件截止时间，由供应商所完成的同类型项目业绩情况，由磋商小组进行评分：每提供1份得1分，满分3分。需提供项目合同复印件，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260" w:hRule="atLeast"/>
        </w:trPr>
        <w:tc>
          <w:tcPr>
            <w:tcW w:w="4783" w:type="dxa"/>
            <w:shd w:val="clear" w:color="auto" w:fill="FFFFFF"/>
            <w:vAlign w:val="center"/>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满意度</w:t>
            </w:r>
          </w:p>
        </w:tc>
        <w:tc>
          <w:tcPr>
            <w:tcW w:w="1496" w:type="dxa"/>
            <w:shd w:val="clear" w:color="auto" w:fill="FFFFFF"/>
            <w:vAlign w:val="center"/>
          </w:tcPr>
          <w:p>
            <w:pPr>
              <w:spacing w:line="514" w:lineRule="exact"/>
              <w:ind w:firstLine="640"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3.00</w:t>
            </w:r>
          </w:p>
        </w:tc>
        <w:tc>
          <w:tcPr>
            <w:tcW w:w="5980" w:type="dxa"/>
            <w:shd w:val="clear" w:color="auto" w:fill="FFFFFF"/>
            <w:vAlign w:val="center"/>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根据报价供应商提供的2021年1月1日以来完成的省级或以上行政事业单位评价满意度进行评审，每提供一份评价为优秀、满意等肯定性质的证明材料得1分，满分3分。未提供不得分。与“经验”提供同一项目的不重复得分。</w:t>
            </w:r>
          </w:p>
        </w:tc>
      </w:tr>
    </w:tbl>
    <w:p>
      <w:pPr>
        <w:numPr>
          <w:ilvl w:val="0"/>
          <w:numId w:val="0"/>
        </w:numPr>
        <w:rPr>
          <w:rFonts w:hint="eastAsia" w:ascii="宋体" w:hAnsi="宋体" w:eastAsia="宋体"/>
          <w:b/>
          <w:color w:val="000000"/>
          <w:sz w:val="30"/>
          <w:szCs w:val="30"/>
        </w:rPr>
      </w:pPr>
    </w:p>
    <w:p>
      <w:pPr>
        <w:rPr>
          <w:rFonts w:ascii="宋体" w:hAnsi="宋体" w:eastAsia="宋体"/>
          <w:b/>
          <w:color w:val="000000"/>
          <w:sz w:val="32"/>
          <w:szCs w:val="32"/>
        </w:rPr>
      </w:pPr>
      <w:r>
        <w:rPr>
          <w:rFonts w:hint="eastAsia" w:ascii="宋体" w:hAnsi="宋体" w:eastAsia="宋体"/>
          <w:b/>
          <w:color w:val="000000"/>
          <w:sz w:val="32"/>
          <w:szCs w:val="32"/>
        </w:rPr>
        <w:t xml:space="preserve">价格部分评分 </w:t>
      </w:r>
      <w:r>
        <w:rPr>
          <w:rFonts w:ascii="宋体" w:hAnsi="宋体" w:eastAsia="宋体"/>
          <w:b/>
          <w:color w:val="000000"/>
          <w:sz w:val="32"/>
          <w:szCs w:val="32"/>
        </w:rPr>
        <w:t xml:space="preserve"> </w:t>
      </w:r>
      <w:r>
        <w:rPr>
          <w:rFonts w:hint="eastAsia" w:ascii="宋体" w:hAnsi="宋体" w:eastAsia="宋体"/>
          <w:b/>
          <w:color w:val="000000"/>
          <w:sz w:val="32"/>
          <w:szCs w:val="32"/>
        </w:rPr>
        <w:t>满分1</w:t>
      </w:r>
      <w:r>
        <w:rPr>
          <w:rFonts w:hint="eastAsia" w:ascii="宋体" w:hAnsi="宋体" w:eastAsia="宋体"/>
          <w:b/>
          <w:color w:val="000000"/>
          <w:sz w:val="32"/>
          <w:szCs w:val="32"/>
          <w:lang w:val="en-US" w:eastAsia="zh-CN"/>
        </w:rPr>
        <w:t>0</w:t>
      </w:r>
      <w:r>
        <w:rPr>
          <w:rFonts w:hint="eastAsia" w:ascii="宋体" w:hAnsi="宋体" w:eastAsia="宋体"/>
          <w:b/>
          <w:color w:val="000000"/>
          <w:sz w:val="32"/>
          <w:szCs w:val="32"/>
        </w:rPr>
        <w:t>分</w:t>
      </w:r>
    </w:p>
    <w:tbl>
      <w:tblPr>
        <w:tblStyle w:val="5"/>
        <w:tblW w:w="12168"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684"/>
        <w:gridCol w:w="1500"/>
        <w:gridCol w:w="59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99" w:hRule="atLeast"/>
          <w:tblHeader/>
        </w:trPr>
        <w:tc>
          <w:tcPr>
            <w:tcW w:w="4684" w:type="dxa"/>
            <w:tcBorders>
              <w:top w:val="outset" w:color="auto" w:sz="6" w:space="0"/>
              <w:left w:val="outset" w:color="auto" w:sz="6" w:space="0"/>
              <w:bottom w:val="outset" w:color="auto" w:sz="6" w:space="0"/>
              <w:right w:val="outset" w:color="auto" w:sz="6" w:space="0"/>
            </w:tcBorders>
            <w:vAlign w:val="center"/>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项目</w:t>
            </w:r>
          </w:p>
        </w:tc>
        <w:tc>
          <w:tcPr>
            <w:tcW w:w="1500" w:type="dxa"/>
            <w:tcBorders>
              <w:top w:val="outset" w:color="auto" w:sz="6" w:space="0"/>
              <w:left w:val="outset" w:color="auto" w:sz="6" w:space="0"/>
              <w:bottom w:val="outset" w:color="auto" w:sz="6" w:space="0"/>
              <w:right w:val="outset" w:color="auto" w:sz="6" w:space="0"/>
            </w:tcBorders>
            <w:vAlign w:val="center"/>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分值</w:t>
            </w:r>
          </w:p>
        </w:tc>
        <w:tc>
          <w:tcPr>
            <w:tcW w:w="5984" w:type="dxa"/>
            <w:tcBorders>
              <w:top w:val="outset" w:color="auto" w:sz="6" w:space="0"/>
              <w:left w:val="outset" w:color="auto" w:sz="6" w:space="0"/>
              <w:bottom w:val="outset" w:color="auto" w:sz="6" w:space="0"/>
              <w:right w:val="outset" w:color="auto" w:sz="6" w:space="0"/>
            </w:tcBorders>
            <w:vAlign w:val="center"/>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评分方法描述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6" w:hRule="atLeast"/>
        </w:trPr>
        <w:tc>
          <w:tcPr>
            <w:tcW w:w="4684" w:type="dxa"/>
            <w:vMerge w:val="restart"/>
            <w:tcBorders>
              <w:top w:val="outset" w:color="auto" w:sz="6" w:space="0"/>
              <w:left w:val="outset" w:color="auto" w:sz="6" w:space="0"/>
              <w:right w:val="outset" w:color="auto" w:sz="6" w:space="0"/>
            </w:tcBorders>
            <w:vAlign w:val="center"/>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报价情况</w:t>
            </w:r>
          </w:p>
        </w:tc>
        <w:tc>
          <w:tcPr>
            <w:tcW w:w="1500" w:type="dxa"/>
            <w:vMerge w:val="restart"/>
            <w:tcBorders>
              <w:top w:val="outset" w:color="auto" w:sz="6" w:space="0"/>
              <w:left w:val="outset" w:color="auto" w:sz="6" w:space="0"/>
              <w:right w:val="outset" w:color="auto" w:sz="6" w:space="0"/>
            </w:tcBorders>
            <w:vAlign w:val="center"/>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10</w:t>
            </w:r>
          </w:p>
        </w:tc>
        <w:tc>
          <w:tcPr>
            <w:tcW w:w="5984" w:type="dxa"/>
            <w:vMerge w:val="restart"/>
            <w:tcBorders>
              <w:top w:val="outset" w:color="auto" w:sz="6" w:space="0"/>
              <w:left w:val="outset" w:color="auto" w:sz="6" w:space="0"/>
              <w:right w:val="outset" w:color="auto" w:sz="6" w:space="0"/>
            </w:tcBorders>
            <w:vAlign w:val="center"/>
          </w:tcPr>
          <w:p>
            <w:pPr>
              <w:spacing w:line="514"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采用低价优先法计算，即满足采购文件要求且报价最低的供应商的价格为基准价，其价格分为满分。其他供应商的价格分统一按照下列公式计算：报价得分=（基准价／报价）×价格权值（0.10）×100。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6" w:hRule="atLeast"/>
        </w:trPr>
        <w:tc>
          <w:tcPr>
            <w:tcW w:w="4684" w:type="dxa"/>
            <w:vMerge w:val="continue"/>
            <w:tcBorders>
              <w:left w:val="outset" w:color="auto" w:sz="6" w:space="0"/>
              <w:right w:val="outset" w:color="auto" w:sz="6" w:space="0"/>
            </w:tcBorders>
            <w:vAlign w:val="center"/>
          </w:tcPr>
          <w:p>
            <w:pPr>
              <w:widowControl/>
              <w:adjustRightInd/>
              <w:snapToGrid/>
              <w:spacing w:line="400" w:lineRule="exact"/>
              <w:jc w:val="left"/>
            </w:pPr>
          </w:p>
        </w:tc>
        <w:tc>
          <w:tcPr>
            <w:tcW w:w="1500" w:type="dxa"/>
            <w:vMerge w:val="continue"/>
            <w:tcBorders>
              <w:left w:val="outset" w:color="auto" w:sz="6" w:space="0"/>
              <w:right w:val="outset" w:color="auto" w:sz="6" w:space="0"/>
            </w:tcBorders>
            <w:vAlign w:val="center"/>
          </w:tcPr>
          <w:p>
            <w:pPr>
              <w:widowControl/>
              <w:adjustRightInd/>
              <w:snapToGrid/>
              <w:spacing w:line="400" w:lineRule="exact"/>
              <w:jc w:val="left"/>
            </w:pPr>
          </w:p>
        </w:tc>
        <w:tc>
          <w:tcPr>
            <w:tcW w:w="5984" w:type="dxa"/>
            <w:vMerge w:val="continue"/>
            <w:tcBorders>
              <w:left w:val="outset" w:color="auto" w:sz="6" w:space="0"/>
              <w:right w:val="outset" w:color="auto" w:sz="6" w:space="0"/>
            </w:tcBorders>
            <w:vAlign w:val="center"/>
          </w:tcPr>
          <w:p>
            <w:pPr>
              <w:widowControl/>
              <w:adjustRightInd/>
              <w:snapToGrid/>
              <w:spacing w:line="400" w:lineRule="exact"/>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6" w:hRule="atLeast"/>
        </w:trPr>
        <w:tc>
          <w:tcPr>
            <w:tcW w:w="4684" w:type="dxa"/>
            <w:vMerge w:val="continue"/>
            <w:tcBorders>
              <w:left w:val="outset" w:color="auto" w:sz="6" w:space="0"/>
              <w:right w:val="outset" w:color="auto" w:sz="6" w:space="0"/>
            </w:tcBorders>
            <w:vAlign w:val="center"/>
          </w:tcPr>
          <w:p>
            <w:pPr>
              <w:widowControl/>
              <w:adjustRightInd/>
              <w:snapToGrid/>
              <w:spacing w:line="400" w:lineRule="exact"/>
              <w:jc w:val="left"/>
              <w:rPr>
                <w:rFonts w:ascii="宋体" w:hAnsi="宋体" w:eastAsia="宋体" w:cs="宋体"/>
                <w:color w:val="000000"/>
                <w:kern w:val="0"/>
                <w:sz w:val="21"/>
                <w:szCs w:val="21"/>
              </w:rPr>
            </w:pPr>
          </w:p>
        </w:tc>
        <w:tc>
          <w:tcPr>
            <w:tcW w:w="1500" w:type="dxa"/>
            <w:vMerge w:val="continue"/>
            <w:tcBorders>
              <w:left w:val="outset" w:color="auto" w:sz="6" w:space="0"/>
              <w:right w:val="outset" w:color="auto" w:sz="6" w:space="0"/>
            </w:tcBorders>
            <w:vAlign w:val="center"/>
          </w:tcPr>
          <w:p>
            <w:pPr>
              <w:widowControl/>
              <w:adjustRightInd/>
              <w:snapToGrid/>
              <w:spacing w:line="400" w:lineRule="exact"/>
              <w:jc w:val="left"/>
              <w:rPr>
                <w:rFonts w:ascii="宋体" w:hAnsi="宋体" w:eastAsia="宋体" w:cs="宋体"/>
                <w:color w:val="000000"/>
                <w:kern w:val="0"/>
                <w:sz w:val="21"/>
                <w:szCs w:val="21"/>
              </w:rPr>
            </w:pPr>
          </w:p>
        </w:tc>
        <w:tc>
          <w:tcPr>
            <w:tcW w:w="5984" w:type="dxa"/>
            <w:vMerge w:val="continue"/>
            <w:tcBorders>
              <w:left w:val="outset" w:color="auto" w:sz="6" w:space="0"/>
              <w:right w:val="outset" w:color="auto" w:sz="6" w:space="0"/>
            </w:tcBorders>
            <w:vAlign w:val="center"/>
          </w:tcPr>
          <w:p>
            <w:pPr>
              <w:widowControl/>
              <w:adjustRightInd/>
              <w:snapToGrid/>
              <w:spacing w:line="400" w:lineRule="exact"/>
              <w:jc w:val="left"/>
              <w:rPr>
                <w:rFonts w:ascii="宋体" w:hAnsi="宋体" w:eastAsia="宋体" w:cs="宋体"/>
                <w:color w:val="000000"/>
                <w:kern w:val="0"/>
                <w:sz w:val="21"/>
                <w:szCs w:val="21"/>
              </w:rPr>
            </w:pPr>
          </w:p>
        </w:tc>
      </w:tr>
    </w:tbl>
    <w:p>
      <w:pPr>
        <w:rPr>
          <w:u w:val="single"/>
        </w:rPr>
      </w:pPr>
      <w:r>
        <w:rPr>
          <w:rFonts w:hint="eastAsia"/>
        </w:rPr>
        <w:t xml:space="preserve"> </w:t>
      </w:r>
    </w:p>
    <w:p/>
    <w:sectPr>
      <w:pgSz w:w="16838" w:h="11906" w:orient="landscape"/>
      <w:pgMar w:top="1440" w:right="1800" w:bottom="1440" w:left="1800" w:header="851" w:footer="794"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line="594" w:lineRule="exact"/>
      <w:jc w:val="center"/>
      <w:rPr>
        <w:rFonts w:ascii="Calibri" w:hAnsi="Calibri" w:eastAsia="宋体" w:cs="Times New Roman"/>
        <w:kern w:val="0"/>
        <w:sz w:val="21"/>
        <w:szCs w:val="21"/>
        <w:lang w:val="en-US" w:eastAsia="zh-CN" w:bidi="ar-SA"/>
      </w:rPr>
    </w:pPr>
    <w:r>
      <w:rPr>
        <w:rFonts w:hint="eastAsia" w:ascii="Calibri" w:hAnsi="Calibri" w:eastAsia="宋体" w:cs="Times New Roman"/>
        <w:kern w:val="0"/>
        <w:sz w:val="21"/>
        <w:szCs w:val="21"/>
        <w:lang w:val="en-US" w:eastAsia="zh-CN" w:bidi="ar-SA"/>
      </w:rPr>
      <w:t xml:space="preserve">— </w:t>
    </w:r>
    <w:r>
      <w:rPr>
        <w:rFonts w:ascii="Calibri" w:hAnsi="Calibri" w:eastAsia="宋体" w:cs="Times New Roman"/>
        <w:kern w:val="0"/>
        <w:sz w:val="21"/>
        <w:szCs w:val="21"/>
        <w:lang w:val="en-US" w:eastAsia="zh-CN" w:bidi="ar-SA"/>
      </w:rPr>
      <w:fldChar w:fldCharType="begin"/>
    </w:r>
    <w:r>
      <w:rPr>
        <w:rFonts w:ascii="Calibri" w:hAnsi="Calibri" w:eastAsia="宋体" w:cs="Times New Roman"/>
        <w:kern w:val="0"/>
        <w:sz w:val="21"/>
        <w:szCs w:val="21"/>
        <w:lang w:val="en-US" w:eastAsia="zh-CN" w:bidi="ar-SA"/>
      </w:rPr>
      <w:instrText xml:space="preserve">PAGE   \* MERGEFORMAT</w:instrText>
    </w:r>
    <w:r>
      <w:rPr>
        <w:rFonts w:ascii="Calibri" w:hAnsi="Calibri" w:eastAsia="宋体" w:cs="Times New Roman"/>
        <w:kern w:val="0"/>
        <w:sz w:val="21"/>
        <w:szCs w:val="21"/>
        <w:lang w:val="en-US" w:eastAsia="zh-CN" w:bidi="ar-SA"/>
      </w:rPr>
      <w:fldChar w:fldCharType="separate"/>
    </w:r>
    <w:r>
      <w:rPr>
        <w:rFonts w:ascii="Calibri" w:hAnsi="Calibri" w:eastAsia="宋体" w:cs="Times New Roman"/>
        <w:kern w:val="0"/>
        <w:sz w:val="21"/>
        <w:szCs w:val="21"/>
        <w:lang w:val="zh-CN" w:eastAsia="zh-CN" w:bidi="ar-SA"/>
      </w:rPr>
      <w:t>13</w:t>
    </w:r>
    <w:r>
      <w:rPr>
        <w:rFonts w:ascii="Calibri" w:hAnsi="Calibri" w:eastAsia="宋体" w:cs="Times New Roman"/>
        <w:kern w:val="0"/>
        <w:sz w:val="21"/>
        <w:szCs w:val="21"/>
        <w:lang w:val="en-US" w:eastAsia="zh-CN" w:bidi="ar-SA"/>
      </w:rPr>
      <w:fldChar w:fldCharType="end"/>
    </w:r>
    <w:r>
      <w:rPr>
        <w:rFonts w:hint="eastAsia" w:ascii="Calibri" w:hAnsi="Calibri" w:eastAsia="宋体" w:cs="Times New Roman"/>
        <w:kern w:val="0"/>
        <w:sz w:val="21"/>
        <w:szCs w:val="21"/>
        <w:lang w:val="en-US" w:eastAsia="zh-CN" w:bidi="ar-SA"/>
      </w:rPr>
      <w:t xml:space="preserve"> —</w:t>
    </w:r>
  </w:p>
  <w:p>
    <w:pPr>
      <w:widowControl w:val="0"/>
      <w:adjustRightInd w:val="0"/>
      <w:snapToGrid w:val="0"/>
      <w:spacing w:line="594" w:lineRule="exact"/>
      <w:ind w:right="360" w:firstLine="360"/>
      <w:jc w:val="left"/>
      <w:rPr>
        <w:rFonts w:ascii="Calibri" w:hAnsi="Calibri" w:eastAsia="宋体" w:cs="Times New Roman"/>
        <w:kern w:val="0"/>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0544A"/>
    <w:multiLevelType w:val="singleLevel"/>
    <w:tmpl w:val="22B0544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E0D0797"/>
    <w:rsid w:val="0D3309CB"/>
    <w:rsid w:val="0D72499A"/>
    <w:rsid w:val="0E0D0797"/>
    <w:rsid w:val="10D532D1"/>
    <w:rsid w:val="12B207DE"/>
    <w:rsid w:val="1CF91E82"/>
    <w:rsid w:val="2526743F"/>
    <w:rsid w:val="37EA1ECE"/>
    <w:rsid w:val="3CF4361D"/>
    <w:rsid w:val="45D607AD"/>
    <w:rsid w:val="4A282B58"/>
    <w:rsid w:val="4C3C67D8"/>
    <w:rsid w:val="63FB66D5"/>
    <w:rsid w:val="6E7458E6"/>
    <w:rsid w:val="71DA0E4A"/>
    <w:rsid w:val="7C865339"/>
    <w:rsid w:val="7EF76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94" w:lineRule="exact"/>
      <w:jc w:val="both"/>
    </w:pPr>
    <w:rPr>
      <w:rFonts w:ascii="黑体" w:hAnsi="黑体" w:eastAsia="方正仿宋简体" w:cs="Times New Roman"/>
      <w:kern w:val="2"/>
      <w:sz w:val="32"/>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unhideWhenUsed/>
    <w:qFormat/>
    <w:uiPriority w:val="99"/>
    <w:pPr>
      <w:widowControl w:val="0"/>
      <w:adjustRightInd w:val="0"/>
      <w:snapToGrid w:val="0"/>
      <w:spacing w:line="594" w:lineRule="exact"/>
      <w:ind w:firstLine="420" w:firstLineChars="200"/>
      <w:jc w:val="both"/>
    </w:pPr>
    <w:rPr>
      <w:rFonts w:ascii="黑体" w:hAnsi="黑体" w:eastAsia="方正仿宋简体" w:cs="Times New Roman"/>
      <w:kern w:val="2"/>
      <w:sz w:val="32"/>
      <w:szCs w:val="24"/>
      <w:lang w:val="en-US" w:eastAsia="zh-CN" w:bidi="ar-SA"/>
    </w:rPr>
  </w:style>
  <w:style w:type="character" w:styleId="4">
    <w:name w:val="Strong"/>
    <w:basedOn w:val="3"/>
    <w:qFormat/>
    <w:uiPriority w:val="0"/>
    <w:rPr>
      <w:b/>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4947</Words>
  <Characters>5138</Characters>
  <Lines>0</Lines>
  <Paragraphs>0</Paragraphs>
  <TotalTime>81</TotalTime>
  <ScaleCrop>false</ScaleCrop>
  <LinksUpToDate>false</LinksUpToDate>
  <CharactersWithSpaces>5146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2024-08-16T05:40:00Z</dcterms:created>
  <dc:creator>图图</dc:creator>
  <cp:lastModifiedBy>吴昊</cp:lastModifiedBy>
  <cp:lastPrinted>2024-09-02T05:07:20Z</cp:lastPrinted>
  <dcterms:modified xsi:type="dcterms:W3CDTF">2024-09-02T05:08:24Z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108D52090CEC453C8F6C2D91477333CA_13</vt:lpwstr>
  </property>
</Properties>
</file>