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方正小标宋简体" w:eastAsia="方正小标宋简体"/>
          <w:spacing w:val="157"/>
          <w:kern w:val="0"/>
          <w:sz w:val="100"/>
          <w:szCs w:val="100"/>
        </w:rPr>
      </w:pPr>
    </w:p>
    <w:p>
      <w:pPr>
        <w:spacing w:line="240" w:lineRule="auto"/>
        <w:jc w:val="center"/>
        <w:rPr>
          <w:rFonts w:ascii="方正小标宋简体" w:eastAsia="方正小标宋简体"/>
          <w:spacing w:val="157"/>
          <w:kern w:val="0"/>
          <w:sz w:val="100"/>
          <w:szCs w:val="100"/>
        </w:rPr>
      </w:pP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件</w:t>
      </w:r>
    </w:p>
    <w:p>
      <w:pPr>
        <w:rPr>
          <w:rFonts w:hint="eastAsia" w:eastAsia="黑体" w:cs="黑体"/>
          <w:szCs w:val="32"/>
        </w:rPr>
      </w:pPr>
      <w:r>
        <w:rPr>
          <w:rFonts w:hint="eastAsia" w:eastAsia="黑体" w:cs="黑体"/>
          <w:szCs w:val="32"/>
        </w:rPr>
        <w:br w:type="page"/>
      </w:r>
    </w:p>
    <w:p>
      <w:pPr>
        <w:spacing w:line="514" w:lineRule="exact"/>
        <w:rPr>
          <w:rFonts w:hint="eastAsia" w:eastAsia="黑体" w:cs="黑体"/>
          <w:szCs w:val="32"/>
        </w:rPr>
      </w:pPr>
    </w:p>
    <w:p>
      <w:pPr>
        <w:spacing w:line="514" w:lineRule="exact"/>
        <w:rPr>
          <w:rFonts w:hint="eastAsia" w:eastAsia="黑体" w:cs="黑体"/>
          <w:szCs w:val="32"/>
        </w:rPr>
      </w:pPr>
    </w:p>
    <w:p>
      <w:pPr>
        <w:spacing w:line="514" w:lineRule="exact"/>
        <w:rPr>
          <w:rFonts w:hint="eastAsia" w:eastAsia="黑体" w:cs="黑体"/>
          <w:szCs w:val="32"/>
        </w:rPr>
        <w:sectPr>
          <w:footerReference r:id="rId5"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一、项目说明</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仿宋_GB2312" w:hAnsi="仿宋_GB2312" w:eastAsia="仿宋_GB2312" w:cs="仿宋_GB2312"/>
          <w:snapToGrid w:val="0"/>
          <w:kern w:val="0"/>
          <w:sz w:val="32"/>
          <w:szCs w:val="32"/>
        </w:rPr>
      </w:pPr>
      <w:r>
        <w:rPr>
          <w:rFonts w:hint="eastAsia" w:ascii="楷体_GB2312" w:hAnsi="楷体_GB2312" w:eastAsia="楷体_GB2312" w:cs="楷体_GB2312"/>
          <w:b/>
          <w:bCs/>
          <w:snapToGrid w:val="0"/>
          <w:kern w:val="0"/>
          <w:sz w:val="32"/>
          <w:szCs w:val="32"/>
        </w:rPr>
        <w:t>（一）项目名称：</w:t>
      </w:r>
      <w:r>
        <w:rPr>
          <w:rFonts w:hint="eastAsia" w:ascii="仿宋_GB2312" w:hAnsi="仿宋_GB2312" w:eastAsia="仿宋_GB2312" w:cs="仿宋_GB2312"/>
          <w:snapToGrid w:val="0"/>
          <w:kern w:val="0"/>
          <w:sz w:val="32"/>
          <w:szCs w:val="32"/>
        </w:rPr>
        <w:t>第十五届中国国际商标品牌节展馆布展服务采购项目</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bookmarkStart w:id="0" w:name="_Toc498001358"/>
      <w:bookmarkStart w:id="1" w:name="_Toc498001259"/>
      <w:r>
        <w:rPr>
          <w:rFonts w:hint="eastAsia" w:ascii="楷体_GB2312" w:hAnsi="楷体_GB2312" w:eastAsia="楷体_GB2312" w:cs="楷体_GB2312"/>
          <w:b/>
          <w:bCs/>
          <w:snapToGrid w:val="0"/>
          <w:kern w:val="0"/>
          <w:sz w:val="32"/>
          <w:szCs w:val="32"/>
        </w:rPr>
        <w:t>（二）资格要求</w:t>
      </w:r>
      <w:bookmarkEnd w:id="0"/>
      <w:bookmarkEnd w:id="1"/>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1.供应商应具备下列资格条件，并提供证明材料（包括但不限于）：</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其他供应商应按照有关法律法规和规章规定，提供有效的相应具体证照复印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（2）具有良好的商业信誉和健全的财务会计制度</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提供参加本次采购活动上一年度或上一季度财务报告复印件，至少包括“包括资产负债表、利润表、现金流量表、所有者权益变动表（若有）及其附注（若有）”</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（3）具有履行合同所必需的设备和专业技术能力（根据项目需求提供履行合同所必需的设备和专业技术能力的声明及证明材料）。</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（4）有依法缴纳税收和社会保障资金的良好记录（提供参加本次政府采购活动前一年内任一个月的依法缴纳税收和社会保障资金的相关材料）。</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（5）参加采购活动前一年内，在经营活动中没有重大违法记录（提供参加本次采购活动前1年内在经营活动中没有违法记录的书面声明）。</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（6）法律、行政法规规定的其他条件（提供项目实施所必须的许可资质证明材料）。</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2.本项目不接受下列供应商：</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（1）联合体形式的供应商。</w:t>
      </w:r>
    </w:p>
    <w:p>
      <w:pPr>
        <w:keepNext w:val="0"/>
        <w:keepLines w:val="0"/>
        <w:pageBreakBefore w:val="0"/>
        <w:widowControl w:val="0"/>
        <w:kinsoku/>
        <w:wordWrap w:val="0"/>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snapToGrid w:val="0"/>
          <w:spacing w:val="-11"/>
          <w:kern w:val="0"/>
          <w:sz w:val="32"/>
          <w:szCs w:val="32"/>
        </w:rPr>
        <w:t>供应商被“信用中国”网站（www.creditchina.gov.cn）</w:t>
      </w:r>
      <w:r>
        <w:rPr>
          <w:rFonts w:hint="eastAsia" w:ascii="仿宋_GB2312" w:hAnsi="仿宋_GB2312" w:eastAsia="仿宋_GB2312" w:cs="仿宋_GB2312"/>
          <w:snapToGrid w:val="0"/>
          <w:kern w:val="0"/>
          <w:sz w:val="32"/>
          <w:szCs w:val="32"/>
        </w:rPr>
        <w:t>、“中国政府采购网”</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www.ccgp.gov.cn</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列入失信被执行人、重大税收违法案件当事人名单、政府采购严重违法失信行为记录名单。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（3）供应商存在其他失信情况的。</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bookmarkStart w:id="2" w:name="_Toc498001260"/>
      <w:bookmarkStart w:id="3" w:name="_Toc498001359"/>
      <w:r>
        <w:rPr>
          <w:rFonts w:hint="eastAsia" w:ascii="楷体_GB2312" w:hAnsi="楷体_GB2312" w:eastAsia="楷体_GB2312" w:cs="楷体_GB2312"/>
          <w:b/>
          <w:bCs/>
          <w:snapToGrid w:val="0"/>
          <w:kern w:val="0"/>
          <w:sz w:val="32"/>
          <w:szCs w:val="32"/>
        </w:rPr>
        <w:t>（三）投标须知</w:t>
      </w:r>
      <w:bookmarkEnd w:id="2"/>
      <w:bookmarkEnd w:id="3"/>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1.各供应商填列价格以人民币为单位，须包括完成本项目所涉及的一切费用。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w:t>
      </w:r>
      <w:bookmarkStart w:id="4" w:name="_Toc498001261"/>
      <w:bookmarkStart w:id="5" w:name="_Toc498001360"/>
      <w:r>
        <w:rPr>
          <w:rFonts w:hint="eastAsia" w:ascii="仿宋_GB2312" w:hAnsi="仿宋_GB2312" w:eastAsia="仿宋_GB2312" w:cs="仿宋_GB2312"/>
          <w:snapToGrid w:val="0"/>
          <w:kern w:val="0"/>
          <w:sz w:val="32"/>
          <w:szCs w:val="32"/>
        </w:rPr>
        <w:t>本项目最高限价</w:t>
      </w:r>
      <w:r>
        <w:rPr>
          <w:rFonts w:hint="eastAsia" w:ascii="仿宋_GB2312" w:hAnsi="仿宋_GB2312" w:eastAsia="仿宋_GB2312" w:cs="仿宋_GB2312"/>
          <w:snapToGrid w:val="0"/>
          <w:kern w:val="0"/>
          <w:sz w:val="32"/>
          <w:szCs w:val="32"/>
          <w:u w:val="single"/>
        </w:rPr>
        <w:t>48</w:t>
      </w:r>
      <w:r>
        <w:rPr>
          <w:rFonts w:hint="eastAsia" w:ascii="仿宋_GB2312" w:hAnsi="仿宋_GB2312" w:eastAsia="仿宋_GB2312" w:cs="仿宋_GB2312"/>
          <w:snapToGrid w:val="0"/>
          <w:kern w:val="0"/>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3.采购方式</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询价比选</w:t>
      </w:r>
      <w:r>
        <w:rPr>
          <w:rFonts w:hint="eastAsia" w:ascii="仿宋_GB2312" w:hAnsi="仿宋_GB2312" w:eastAsia="仿宋_GB2312" w:cs="仿宋_GB2312"/>
          <w:snapToGrid w:val="0"/>
          <w:kern w:val="0"/>
          <w:sz w:val="32"/>
          <w:szCs w:val="32"/>
          <w:lang w:eastAsia="zh-CN"/>
        </w:rPr>
        <w:t>，按</w:t>
      </w:r>
      <w:r>
        <w:rPr>
          <w:rFonts w:hint="eastAsia" w:ascii="仿宋_GB2312" w:hAnsi="仿宋_GB2312" w:eastAsia="仿宋_GB2312" w:cs="仿宋_GB2312"/>
          <w:snapToGrid w:val="0"/>
          <w:kern w:val="0"/>
          <w:sz w:val="32"/>
          <w:szCs w:val="32"/>
        </w:rPr>
        <w:t>综合评标法评定。</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b/>
          <w:bCs/>
          <w:snapToGrid w:val="0"/>
          <w:kern w:val="0"/>
          <w:sz w:val="32"/>
          <w:szCs w:val="32"/>
        </w:rPr>
        <w:t>（四）投标</w:t>
      </w:r>
      <w:bookmarkEnd w:id="4"/>
      <w:bookmarkEnd w:id="5"/>
      <w:r>
        <w:rPr>
          <w:rFonts w:hint="eastAsia" w:ascii="楷体_GB2312" w:hAnsi="楷体_GB2312" w:eastAsia="楷体_GB2312" w:cs="楷体_GB2312"/>
          <w:b/>
          <w:bCs/>
          <w:snapToGrid w:val="0"/>
          <w:kern w:val="0"/>
          <w:sz w:val="32"/>
          <w:szCs w:val="32"/>
        </w:rPr>
        <w:t>要求</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供应商应仔细阅读本项目说明及要求的所有内容，按照要求提交响应文件。响应文件应对本项目的要求作出实质性响应，并对所提供的证明或佐证材料真实性负责，提供虚假材料谋取成交的其报价无效。响应文件应当包括但不限于以下内容：</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1.商务文件：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（1）有关承诺函；</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（2）报价单；</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（3）营业执照</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法人证书</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复印件；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（4）法定代表人授权委托书；</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（5）法定代表人有效身份证复印件；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（6）委托代理人有效身份证复印件（若有）；</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bookmarkStart w:id="6" w:name="_Hlk160823965"/>
      <w:r>
        <w:rPr>
          <w:rFonts w:hint="eastAsia" w:ascii="仿宋_GB2312" w:hAnsi="仿宋_GB2312" w:eastAsia="仿宋_GB2312" w:cs="仿宋_GB2312"/>
          <w:snapToGrid w:val="0"/>
          <w:kern w:val="0"/>
          <w:sz w:val="32"/>
          <w:szCs w:val="32"/>
        </w:rPr>
        <w:t>（7）信用、财务状况报告、纳税、社保等良好记录相关材料以及</w:t>
      </w:r>
      <w:bookmarkEnd w:id="6"/>
      <w:r>
        <w:rPr>
          <w:rFonts w:hint="eastAsia" w:ascii="仿宋_GB2312" w:hAnsi="仿宋_GB2312" w:eastAsia="仿宋_GB2312" w:cs="仿宋_GB2312"/>
          <w:snapToGrid w:val="0"/>
          <w:kern w:val="0"/>
          <w:sz w:val="32"/>
          <w:szCs w:val="32"/>
        </w:rPr>
        <w:t>履行合同所必需的设备和专业技术能力等证明材料。</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2.技术文件：</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（1）提交项目整体服务方案和项目实施计划，对本采购文件“项目技术要求”进行回应。</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（2）供应商认为应提交的其他文件。</w:t>
      </w:r>
      <w:bookmarkStart w:id="7" w:name="_Toc498001263"/>
      <w:bookmarkStart w:id="8" w:name="_Toc498001362"/>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rPr>
      </w:pPr>
      <w:r>
        <w:rPr>
          <w:rFonts w:hint="eastAsia" w:ascii="黑体" w:hAnsi="黑体" w:eastAsia="黑体" w:cs="黑体"/>
          <w:snapToGrid w:val="0"/>
          <w:kern w:val="0"/>
          <w:sz w:val="32"/>
          <w:szCs w:val="32"/>
        </w:rPr>
        <w:t>二、项目内容及具体要求</w:t>
      </w:r>
      <w:bookmarkEnd w:id="7"/>
      <w:bookmarkEnd w:id="8"/>
      <w:bookmarkStart w:id="9" w:name="_Toc498001364"/>
      <w:bookmarkStart w:id="10" w:name="_Toc498001265"/>
      <w:bookmarkStart w:id="11" w:name="_Toc362425411"/>
      <w:bookmarkStart w:id="12" w:name="_Toc351982587"/>
      <w:bookmarkStart w:id="13" w:name="_Toc363110617"/>
    </w:p>
    <w:bookmarkEnd w:id="9"/>
    <w:bookmarkEnd w:id="10"/>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bookmarkStart w:id="14" w:name="_Toc498001367"/>
      <w:bookmarkStart w:id="15" w:name="_Toc498001268"/>
      <w:bookmarkStart w:id="16" w:name="_Toc450320511"/>
      <w:bookmarkStart w:id="17" w:name="_Toc421023428"/>
      <w:bookmarkStart w:id="18" w:name="_Toc430180165"/>
      <w:bookmarkStart w:id="19" w:name="_Toc330567036"/>
      <w:bookmarkStart w:id="20" w:name="_Toc351968248"/>
      <w:bookmarkStart w:id="21" w:name="_Toc419485050"/>
      <w:bookmarkStart w:id="22" w:name="_Toc346300369"/>
      <w:bookmarkStart w:id="23" w:name="_Toc455746740"/>
      <w:bookmarkStart w:id="24" w:name="_Toc347060298"/>
      <w:r>
        <w:rPr>
          <w:rFonts w:hint="eastAsia" w:ascii="楷体_GB2312" w:hAnsi="楷体_GB2312" w:eastAsia="楷体_GB2312" w:cs="楷体_GB2312"/>
          <w:b/>
          <w:bCs/>
          <w:snapToGrid w:val="0"/>
          <w:kern w:val="0"/>
          <w:sz w:val="32"/>
          <w:szCs w:val="32"/>
        </w:rPr>
        <w:t>（一）项目概述</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项目为第十五届中国国际商标品牌节展馆布展服务采购项目，采购项目内容包括展馆的租赁、设计、布置、施工搭建、调试及技术、现场保障、组织地标产品相关企业参展以及展会期间的活动策划、宣传推广等一体化服务。</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（二）项目技术要求</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（项号1）1.供应商应时刻关注和采取适当措施保障所有在</w:t>
      </w:r>
      <w:r>
        <w:rPr>
          <w:rFonts w:hint="eastAsia" w:ascii="仿宋_GB2312" w:hAnsi="仿宋_GB2312" w:eastAsia="仿宋_GB2312" w:cs="仿宋_GB2312"/>
          <w:snapToGrid w:val="0"/>
          <w:spacing w:val="0"/>
          <w:kern w:val="0"/>
          <w:sz w:val="32"/>
          <w:szCs w:val="32"/>
        </w:rPr>
        <w:t>场工作人员的安全，保证施工安全，现场施工应当保持有条不</w:t>
      </w:r>
      <w:r>
        <w:rPr>
          <w:rFonts w:hint="eastAsia" w:ascii="仿宋_GB2312" w:hAnsi="仿宋_GB2312" w:eastAsia="仿宋_GB2312" w:cs="仿宋_GB2312"/>
          <w:snapToGrid w:val="0"/>
          <w:kern w:val="0"/>
          <w:sz w:val="32"/>
          <w:szCs w:val="32"/>
        </w:rPr>
        <w:t>紊。</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（项号2）2.供应商充分利用自身已有的经验积累，科学合理地统筹分工、尽心尽责，调动所有工作人员积极、认真地完成活动。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（项号3）3.供应商应当按采购人的要求及时提交活动整体策划方案，采购人有权根据具体情况对活动的整体安排、细节内</w:t>
      </w:r>
      <w:r>
        <w:rPr>
          <w:rFonts w:hint="eastAsia" w:ascii="仿宋_GB2312" w:hAnsi="仿宋_GB2312" w:eastAsia="仿宋_GB2312" w:cs="仿宋_GB2312"/>
          <w:snapToGrid w:val="0"/>
          <w:spacing w:val="-6"/>
          <w:kern w:val="0"/>
          <w:sz w:val="32"/>
          <w:szCs w:val="32"/>
        </w:rPr>
        <w:t>容提出修改意见和建议，供应商应当据此进行相应的修改和调</w:t>
      </w:r>
      <w:r>
        <w:rPr>
          <w:rFonts w:hint="eastAsia" w:ascii="仿宋_GB2312" w:hAnsi="仿宋_GB2312" w:eastAsia="仿宋_GB2312" w:cs="仿宋_GB2312"/>
          <w:snapToGrid w:val="0"/>
          <w:kern w:val="0"/>
          <w:sz w:val="32"/>
          <w:szCs w:val="32"/>
        </w:rPr>
        <w:t>整。</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（项号4）4.在活动层次、水准和范围上做高、做深、做广为目标。</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（项号5）5.直播推流参数：分辨率：1080P（1920x1080）或更高，帧率：25FPS及以上，码率：2000-6000kbps，可根据网络带宽动态调整，其他设置：使用无线网络进行推流直播，并提供收音设备；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（项号6）6.宣传内容设计：通过专业的设计制作，对拟展示的文字、图片等内容进行设计，在灯箱或屏幕上展示，形成直观、便捷的展示效果；</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（项号7）7.</w:t>
      </w:r>
      <w:r>
        <w:rPr>
          <w:rFonts w:hint="eastAsia" w:ascii="仿宋_GB2312" w:hAnsi="仿宋_GB2312" w:eastAsia="仿宋_GB2312" w:cs="仿宋_GB2312"/>
          <w:snapToGrid w:val="0"/>
          <w:spacing w:val="-6"/>
          <w:kern w:val="0"/>
          <w:sz w:val="32"/>
          <w:szCs w:val="32"/>
        </w:rPr>
        <w:t>活动快剪视频：数量：1个，视频时长：60±10秒；</w:t>
      </w:r>
      <w:r>
        <w:rPr>
          <w:rFonts w:hint="eastAsia" w:ascii="仿宋_GB2312" w:hAnsi="仿宋_GB2312" w:eastAsia="仿宋_GB2312" w:cs="仿宋_GB2312"/>
          <w:snapToGrid w:val="0"/>
          <w:kern w:val="0"/>
          <w:sz w:val="32"/>
          <w:szCs w:val="32"/>
        </w:rPr>
        <w:t>视频格式：MP4格式；分辨率：1920*1080。</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（三）服务要求</w:t>
      </w:r>
    </w:p>
    <w:p>
      <w:pPr>
        <w:pStyle w:val="14"/>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★1</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lang w:eastAsia="zh-CN"/>
        </w:rPr>
        <w:t>福建省展馆的租赁、设计、布置、施工搭建、调试及技术、现场保障、组织地标产品相关企业参展以及展会期间的活动策划、宣传推广等一体化服务，展区面积：108平方米；</w:t>
      </w:r>
    </w:p>
    <w:p>
      <w:pPr>
        <w:pStyle w:val="14"/>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★2</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lang w:eastAsia="zh-CN"/>
        </w:rPr>
        <w:t>设计充分考虑展馆空间利用，视野开阔，通透明亮；可容纳各参展单位无障碍进驻，内设展台可作为独立单位，又体现整体性，可互融互补；</w:t>
      </w:r>
    </w:p>
    <w:p>
      <w:pPr>
        <w:pStyle w:val="14"/>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★3</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lang w:eastAsia="zh-CN"/>
        </w:rPr>
        <w:t>展区以图片、实物、文字等为载体，充分运用高新技术手段强化展示效果；</w:t>
      </w:r>
    </w:p>
    <w:p>
      <w:pPr>
        <w:pStyle w:val="14"/>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★4</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lang w:eastAsia="zh-CN"/>
        </w:rPr>
        <w:t>展会期间，在展馆现场举办一场直播活动，含主持人/主播，用于推荐福建省高知名度商标、优质地理标志产品品牌；</w:t>
      </w:r>
    </w:p>
    <w:p>
      <w:pPr>
        <w:pStyle w:val="14"/>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★5</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lang w:eastAsia="zh-CN"/>
        </w:rPr>
        <w:t>提供展会现场的照片拍摄（2天）及现场活动快剪视频（1分钟内），并发布到微信视频号、公众号等线上新媒体渠道投放宣传；</w:t>
      </w:r>
    </w:p>
    <w:p>
      <w:pPr>
        <w:pStyle w:val="14"/>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★6</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lang w:eastAsia="zh-CN"/>
        </w:rPr>
        <w:t>设计并制作宣传品等物料，设计风格与展馆及地标产品相融合；</w:t>
      </w:r>
    </w:p>
    <w:p>
      <w:pPr>
        <w:pStyle w:val="14"/>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★7</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lang w:eastAsia="zh-CN"/>
        </w:rPr>
        <w:t>展馆现场提供摄影师、技术人员、工作人员在展会期间做好展会现场保障、技术保障、拍摄记录及宣传用途，活动整体包含工作人员食宿、摄影拍摄等费用；</w:t>
      </w:r>
    </w:p>
    <w:p>
      <w:pPr>
        <w:pStyle w:val="14"/>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★8</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lang w:eastAsia="zh-CN"/>
        </w:rPr>
        <w:t>负责此次参展展品等相关物料的物流运输等。</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（四）验收要求</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成交供应商所提供的材料不违反国家相关法律法规，所有文件格式符合合同要求；交付的条目数量以采购人要求发送的格式和版本为标准，并符合招标文件的要求。验收时由乙方和采购人共同对展馆质量等根据招标文件的有关规定逐项检验。</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16" w:firstLineChars="200"/>
        <w:jc w:val="both"/>
        <w:textAlignment w:val="auto"/>
        <w:rPr>
          <w:rFonts w:hint="eastAsia" w:ascii="仿宋_GB2312" w:hAnsi="仿宋_GB2312" w:eastAsia="仿宋_GB2312" w:cs="仿宋_GB2312"/>
          <w:snapToGrid w:val="0"/>
          <w:spacing w:val="-6"/>
          <w:kern w:val="0"/>
          <w:sz w:val="32"/>
          <w:szCs w:val="32"/>
        </w:rPr>
      </w:pPr>
      <w:r>
        <w:rPr>
          <w:rFonts w:hint="eastAsia" w:ascii="仿宋_GB2312" w:hAnsi="仿宋_GB2312" w:eastAsia="仿宋_GB2312" w:cs="仿宋_GB2312"/>
          <w:snapToGrid w:val="0"/>
          <w:spacing w:val="-6"/>
          <w:kern w:val="0"/>
          <w:sz w:val="32"/>
          <w:szCs w:val="32"/>
        </w:rPr>
        <w:t xml:space="preserve">若验收不能符合要求，采购人将按合同条款的有关规定执行。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（五）项目付款方式</w:t>
      </w:r>
      <w:bookmarkEnd w:id="14"/>
      <w:bookmarkEnd w:id="15"/>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成交供应商与采购人签订合同后，采购人向成交供应商转账支付50%项目费用。成交供应商完成本项目要求的所有成果并通过采购人验收后15个工作日内，采购人向成交供应商转账支付余下50%费用。</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snapToGrid w:val="0"/>
          <w:kern w:val="0"/>
          <w:sz w:val="32"/>
          <w:szCs w:val="32"/>
        </w:rPr>
      </w:pPr>
      <w:bookmarkStart w:id="25" w:name="_Toc498001368"/>
      <w:bookmarkStart w:id="26" w:name="_Toc498001269"/>
      <w:r>
        <w:rPr>
          <w:rFonts w:hint="eastAsia" w:ascii="楷体_GB2312" w:hAnsi="楷体_GB2312" w:eastAsia="楷体_GB2312" w:cs="楷体_GB2312"/>
          <w:b/>
          <w:bCs/>
          <w:snapToGrid w:val="0"/>
          <w:kern w:val="0"/>
          <w:sz w:val="32"/>
          <w:szCs w:val="32"/>
        </w:rPr>
        <w:t>（六）项目服务期限</w:t>
      </w:r>
      <w:bookmarkEnd w:id="16"/>
      <w:bookmarkEnd w:id="17"/>
      <w:bookmarkEnd w:id="18"/>
      <w:bookmarkEnd w:id="19"/>
      <w:bookmarkEnd w:id="20"/>
      <w:bookmarkEnd w:id="21"/>
      <w:bookmarkEnd w:id="22"/>
      <w:bookmarkEnd w:id="23"/>
      <w:bookmarkEnd w:id="24"/>
      <w:bookmarkEnd w:id="25"/>
      <w:bookmarkEnd w:id="26"/>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u w:val="single"/>
        </w:rPr>
      </w:pPr>
      <w:r>
        <w:rPr>
          <w:rFonts w:hint="eastAsia" w:ascii="仿宋_GB2312" w:hAnsi="仿宋_GB2312" w:eastAsia="仿宋_GB2312" w:cs="仿宋_GB2312"/>
          <w:snapToGrid w:val="0"/>
          <w:kern w:val="0"/>
          <w:sz w:val="32"/>
          <w:szCs w:val="32"/>
        </w:rPr>
        <w:t>项目实施期限：</w:t>
      </w:r>
      <w:r>
        <w:rPr>
          <w:rFonts w:hint="eastAsia" w:ascii="仿宋_GB2312" w:hAnsi="仿宋_GB2312" w:eastAsia="仿宋_GB2312" w:cs="仿宋_GB2312"/>
          <w:snapToGrid w:val="0"/>
          <w:kern w:val="0"/>
          <w:sz w:val="32"/>
          <w:szCs w:val="32"/>
          <w:u w:val="single"/>
        </w:rPr>
        <w:t xml:space="preserve"> 2025年9月8日前   </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bookmarkStart w:id="27" w:name="_Toc421023430"/>
      <w:bookmarkStart w:id="28" w:name="_Toc498001270"/>
      <w:bookmarkStart w:id="29" w:name="_Toc430180167"/>
      <w:bookmarkStart w:id="30" w:name="_Toc450320513"/>
      <w:bookmarkStart w:id="31" w:name="_Toc455746742"/>
      <w:bookmarkStart w:id="32" w:name="_Toc498001369"/>
      <w:bookmarkStart w:id="33" w:name="_Toc419485053"/>
      <w:r>
        <w:rPr>
          <w:rFonts w:hint="eastAsia" w:ascii="楷体_GB2312" w:hAnsi="楷体_GB2312" w:eastAsia="楷体_GB2312" w:cs="楷体_GB2312"/>
          <w:b/>
          <w:bCs/>
          <w:snapToGrid w:val="0"/>
          <w:kern w:val="0"/>
          <w:sz w:val="32"/>
          <w:szCs w:val="32"/>
        </w:rPr>
        <w:t>（七）违约责任</w:t>
      </w:r>
      <w:bookmarkEnd w:id="27"/>
      <w:bookmarkEnd w:id="28"/>
      <w:bookmarkEnd w:id="29"/>
      <w:bookmarkEnd w:id="30"/>
      <w:bookmarkEnd w:id="31"/>
      <w:bookmarkEnd w:id="32"/>
      <w:bookmarkEnd w:id="33"/>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1.因成交供应商原因造成采购合同无法按时签订，视为成交供应商违约，成交供应商违约对采购</w:t>
      </w:r>
    </w:p>
    <w:p>
      <w:pPr>
        <w:keepNext w:val="0"/>
        <w:keepLines w:val="0"/>
        <w:pageBreakBefore w:val="0"/>
        <w:widowControl w:val="0"/>
        <w:kinsoku/>
        <w:wordWrap/>
        <w:overflowPunct w:val="0"/>
        <w:topLinePunct w:val="0"/>
        <w:autoSpaceDE/>
        <w:autoSpaceDN/>
        <w:bidi w:val="0"/>
        <w:adjustRightInd w:val="0"/>
        <w:snapToGrid w:val="0"/>
        <w:spacing w:line="576" w:lineRule="exact"/>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人造成的损失的，需另行支付相应的赔偿。</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2.在签订采购合同之后，成交供应商要求解除合同的，视为成交供应商违约，对采购人造成损失的，成交供应商需支付相应的赔偿。</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3.因成交供应商原因发生重大质量事故，除依约承担赔偿责任外，还将按有关管理办法规定执行。同时，采购人有权保留更换成交供应商的权利，并报相关行政主管部门处罚。</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5.若成交供应商未能按合同规定的时间或双方另行确定的延期项目实施期限按时完成的</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不可抗力除外</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，每逾期一天，成交供应商应按项目金额的0.1%向采购人支付逾期的违约金。若成交供应商逾期达15天</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含15天</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以上的，采购人有权单方解除本合同，成交供应商应按项目总金额的30%支付违约金。若因此给采购人造成损失的，还应赔偿采购人所受的损失。</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6.成交供应商擅自转包的，采购人有权解除合同，且成交供应商应向采购人支付合同总金额20%的违约金，对采购人造成的损失的，需另行支付相应的赔偿。</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7.在明确违约责任后，成交供应商应在接到书面通知书起七天内支付违约金、赔偿金等。</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8.本次采购文件未明确的其他约定事项或条款，待采购人与成交供应商签订合同时，由双方协商订立。</w:t>
      </w:r>
      <w:bookmarkEnd w:id="11"/>
      <w:bookmarkEnd w:id="12"/>
      <w:bookmarkEnd w:id="13"/>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三、项目评分表</w:t>
      </w:r>
    </w:p>
    <w:p>
      <w:pPr>
        <w:keepNext w:val="0"/>
        <w:keepLines w:val="0"/>
        <w:pageBreakBefore w:val="0"/>
        <w:widowControl w:val="0"/>
        <w:kinsoku/>
        <w:wordWrap/>
        <w:overflowPunct w:val="0"/>
        <w:topLinePunct w:val="0"/>
        <w:autoSpaceDE/>
        <w:autoSpaceDN/>
        <w:bidi w:val="0"/>
        <w:adjustRightInd w:val="0"/>
        <w:snapToGrid w:val="0"/>
        <w:spacing w:after="157" w:afterLines="50"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（一）</w:t>
      </w:r>
      <w:r>
        <w:rPr>
          <w:rFonts w:hint="eastAsia" w:ascii="楷体_GB2312" w:hAnsi="楷体_GB2312" w:eastAsia="楷体_GB2312" w:cs="楷体_GB2312"/>
          <w:b/>
          <w:bCs/>
          <w:snapToGrid w:val="0"/>
          <w:kern w:val="0"/>
          <w:sz w:val="32"/>
          <w:szCs w:val="32"/>
        </w:rPr>
        <w:t>技术部分评分  满分75分</w:t>
      </w:r>
    </w:p>
    <w:tbl>
      <w:tblPr>
        <w:tblStyle w:val="8"/>
        <w:tblW w:w="907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1423"/>
        <w:gridCol w:w="875"/>
        <w:gridCol w:w="58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blHeader/>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序号</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项目</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分值</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60"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技术服务响应情况</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21</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对本采购文件中“二、技术要求”的逐项应答情况并结合相关佐证材料（若有）进行评分：带“★”若负偏离任意一项按无效标处理。未带“★”（共7项）完全满足磋商文件要求得21分，每负偏离一项扣3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96"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2</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策划理念方案</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策划理念方案，包含但不限于整体设计理念中，是否融入福建省独特的人文地理特色、地标产业特色，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3</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总体执行方案</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总体执行策划方案，包含但不限于策划流程、管控流程，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4</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宣传方案</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宣传方案，包含但不限于宣传投放计划、宣传重点，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5</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器材设备</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拟投入本项目的直播及拍摄设备（自有或者租赁均可）情况，由磋商小组进行评议：提供4K60P画质拍摄设备的得3分；提供4K30P画质拍摄设备的得2分；提供1080P画质拍摄设备的得1分。供应商须提供①设备清单、②设备技术标准说明文件，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6</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体验性</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展区布展设计的体验性，包含但不限于现场是否提供合理的地标相关互动，实现在展馆现场可赏、可尝、可购等体验，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8"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7</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艺术性</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展区布展设计的艺术性，包含但不限于是否融入部分福建人文历史特色元素，体现福建深厚的文化底蕴，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8"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8</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展区布展设计的功能性</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展区布展设计的功能性，包含但不限于是否考虑内部功能，最大程度地为展位人员和展位工作提供良好的环境和条件，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61"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9</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展区布展设计的合理性</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w:t>
            </w:r>
            <w:bookmarkStart w:id="34" w:name="_GoBack"/>
            <w:bookmarkEnd w:id="34"/>
            <w:r>
              <w:rPr>
                <w:rFonts w:ascii="仿宋_GB2312" w:hAnsi="仿宋_GB2312" w:eastAsia="仿宋_GB2312" w:cs="仿宋_GB2312"/>
                <w:snapToGrid w:val="0"/>
                <w:kern w:val="0"/>
                <w:sz w:val="28"/>
                <w:szCs w:val="28"/>
                <w:lang w:bidi="ar"/>
              </w:rPr>
              <w:t>项目提供的展区布展设计的合理性，包含但不限于区域划分、空间规划、参观动线等是否合理，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95"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r>
              <w:rPr>
                <w:rFonts w:ascii="仿宋_GB2312" w:hAnsi="仿宋_GB2312" w:eastAsia="仿宋_GB2312" w:cs="仿宋_GB2312"/>
                <w:snapToGrid w:val="0"/>
                <w:kern w:val="0"/>
                <w:sz w:val="28"/>
                <w:szCs w:val="28"/>
                <w:lang w:bidi="ar"/>
              </w:rPr>
              <w:t>0</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色彩搭配</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色彩搭配方案，包含但不限于设计图中颜色搭配及整体色彩的协调是否具有冲击力和震撼力等情况，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70"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r>
              <w:rPr>
                <w:rFonts w:ascii="仿宋_GB2312" w:hAnsi="仿宋_GB2312" w:eastAsia="仿宋_GB2312" w:cs="仿宋_GB2312"/>
                <w:snapToGrid w:val="0"/>
                <w:kern w:val="0"/>
                <w:sz w:val="28"/>
                <w:szCs w:val="28"/>
                <w:lang w:bidi="ar"/>
              </w:rPr>
              <w:t>1</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展位设计完善程度</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展位设计完善程度，包含但不限于展位能满足不同种类地标产品的合理展示、地标产品的完善内容，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23"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r>
              <w:rPr>
                <w:rFonts w:ascii="仿宋_GB2312" w:hAnsi="仿宋_GB2312" w:eastAsia="仿宋_GB2312" w:cs="仿宋_GB2312"/>
                <w:snapToGrid w:val="0"/>
                <w:kern w:val="0"/>
                <w:sz w:val="28"/>
                <w:szCs w:val="28"/>
                <w:lang w:bidi="ar"/>
              </w:rPr>
              <w:t>2</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直播方案</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直播方案，包含但不限于策划如何展示、宣介福建高知名度商标、优质地理标志产品等，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87"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r>
              <w:rPr>
                <w:rFonts w:ascii="仿宋_GB2312" w:hAnsi="仿宋_GB2312" w:eastAsia="仿宋_GB2312" w:cs="仿宋_GB2312"/>
                <w:snapToGrid w:val="0"/>
                <w:kern w:val="0"/>
                <w:sz w:val="28"/>
                <w:szCs w:val="28"/>
                <w:lang w:bidi="ar"/>
              </w:rPr>
              <w:t>3</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制作团队</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根据供应商提供的项目团队人员配置（人员不得重复得分），项目团队人员具有相关专业（</w:t>
            </w:r>
            <w:r>
              <w:rPr>
                <w:rFonts w:hint="eastAsia" w:ascii="仿宋_GB2312" w:hAnsi="仿宋_GB2312" w:eastAsia="仿宋_GB2312" w:cs="仿宋_GB2312"/>
                <w:snapToGrid w:val="0"/>
                <w:kern w:val="0"/>
                <w:sz w:val="28"/>
                <w:szCs w:val="28"/>
                <w:lang w:bidi="ar"/>
              </w:rPr>
              <w:t>新闻学、广播电视、编导、会展及商务服务等</w:t>
            </w:r>
            <w:r>
              <w:rPr>
                <w:rFonts w:ascii="仿宋_GB2312" w:hAnsi="仿宋_GB2312" w:eastAsia="仿宋_GB2312" w:cs="仿宋_GB2312"/>
                <w:snapToGrid w:val="0"/>
                <w:kern w:val="0"/>
                <w:sz w:val="28"/>
                <w:szCs w:val="28"/>
                <w:lang w:bidi="ar"/>
              </w:rPr>
              <w:t>）本科及以上学历的人员情况进行评分：相关专业人员在3本及以上的得3分；2本的得2分；1本的得1分。注：供应商需提供相关人员的毕业证书复印件及磋商截止时间前六个月（不含磋商当月）任一个月的依法缴纳社会保障资金的凭据，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40"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r>
              <w:rPr>
                <w:rFonts w:ascii="仿宋_GB2312" w:hAnsi="仿宋_GB2312" w:eastAsia="仿宋_GB2312" w:cs="仿宋_GB2312"/>
                <w:snapToGrid w:val="0"/>
                <w:kern w:val="0"/>
                <w:sz w:val="28"/>
                <w:szCs w:val="28"/>
                <w:lang w:bidi="ar"/>
              </w:rPr>
              <w:t>4</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管理及安全监督</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管理及安全监督，包含但不限于布展、开展及撤展期间的施工管理及安全监督，施工前后对用电安全、人员安全措施、建筑防护安全等方面，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30"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r>
              <w:rPr>
                <w:rFonts w:ascii="仿宋_GB2312" w:hAnsi="仿宋_GB2312" w:eastAsia="仿宋_GB2312" w:cs="仿宋_GB2312"/>
                <w:snapToGrid w:val="0"/>
                <w:kern w:val="0"/>
                <w:sz w:val="28"/>
                <w:szCs w:val="28"/>
                <w:lang w:bidi="ar"/>
              </w:rPr>
              <w:t>5</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应急预案</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应急预案，包含但不限于在实施过程中对突发事件、应急预案措施，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54"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r>
              <w:rPr>
                <w:rFonts w:ascii="仿宋_GB2312" w:hAnsi="仿宋_GB2312" w:eastAsia="仿宋_GB2312" w:cs="仿宋_GB2312"/>
                <w:snapToGrid w:val="0"/>
                <w:kern w:val="0"/>
                <w:sz w:val="28"/>
                <w:szCs w:val="28"/>
                <w:lang w:bidi="ar"/>
              </w:rPr>
              <w:t>6</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质量保障措施方案</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质量保障措施方案，包含但不限于使用材料质量水平优劣（材质说明图）、质量保障、结构安全，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54"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r>
              <w:rPr>
                <w:rFonts w:ascii="仿宋_GB2312" w:hAnsi="仿宋_GB2312" w:eastAsia="仿宋_GB2312" w:cs="仿宋_GB2312"/>
                <w:snapToGrid w:val="0"/>
                <w:kern w:val="0"/>
                <w:sz w:val="28"/>
                <w:szCs w:val="28"/>
                <w:lang w:bidi="ar"/>
              </w:rPr>
              <w:t>7</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进度安排方案</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进度安排方案，包含但不限于文明施工、安全生产措施、实施计划、工期进度，由磋商小组进行评议：方案详细完整、可操作性强的得3分；方案基本完整、可操作性一般的得2.9分；方案简单不完整、可操作性较差的得2.8分；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44"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r>
              <w:rPr>
                <w:rFonts w:ascii="仿宋_GB2312" w:hAnsi="仿宋_GB2312" w:eastAsia="仿宋_GB2312" w:cs="仿宋_GB2312"/>
                <w:snapToGrid w:val="0"/>
                <w:kern w:val="0"/>
                <w:sz w:val="28"/>
                <w:szCs w:val="28"/>
                <w:lang w:bidi="ar"/>
              </w:rPr>
              <w:t>8</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施工图纸方案</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施工图纸方案，包含但不限于3D效果图、平面布局图，由磋商小组进行评分：能够完整提供上述图纸且具有详细图纸说明的得3分；能够完整提供上述图纸但未提供详细图纸说明的得2.9分；仅提供部分图纸的得2.8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0" w:hRule="atLeast"/>
          <w:jc w:val="center"/>
        </w:trPr>
        <w:tc>
          <w:tcPr>
            <w:tcW w:w="9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r>
              <w:rPr>
                <w:rFonts w:ascii="仿宋_GB2312" w:hAnsi="仿宋_GB2312" w:eastAsia="仿宋_GB2312" w:cs="仿宋_GB2312"/>
                <w:snapToGrid w:val="0"/>
                <w:kern w:val="0"/>
                <w:sz w:val="28"/>
                <w:szCs w:val="28"/>
                <w:lang w:bidi="ar"/>
              </w:rPr>
              <w:t>9</w:t>
            </w:r>
          </w:p>
        </w:tc>
        <w:tc>
          <w:tcPr>
            <w:tcW w:w="14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设备情况</w:t>
            </w:r>
          </w:p>
        </w:tc>
        <w:tc>
          <w:tcPr>
            <w:tcW w:w="87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3</w:t>
            </w:r>
          </w:p>
        </w:tc>
        <w:tc>
          <w:tcPr>
            <w:tcW w:w="585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根据供应商针对本项目提供的屏幕、音响灯光设备操控台位置图、设备说明的得3分，须提供位置图及设备说明，未提供不得分。</w:t>
            </w:r>
          </w:p>
        </w:tc>
      </w:tr>
    </w:tbl>
    <w:p>
      <w:pP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br w:type="page"/>
      </w:r>
    </w:p>
    <w:p>
      <w:pPr>
        <w:keepNext w:val="0"/>
        <w:keepLines w:val="0"/>
        <w:pageBreakBefore w:val="0"/>
        <w:widowControl w:val="0"/>
        <w:kinsoku/>
        <w:wordWrap/>
        <w:overflowPunct w:val="0"/>
        <w:topLinePunct w:val="0"/>
        <w:autoSpaceDE/>
        <w:autoSpaceDN/>
        <w:bidi w:val="0"/>
        <w:adjustRightInd w:val="0"/>
        <w:snapToGrid w:val="0"/>
        <w:spacing w:after="157" w:afterLines="50"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（二）</w:t>
      </w:r>
      <w:r>
        <w:rPr>
          <w:rFonts w:hint="eastAsia" w:ascii="楷体_GB2312" w:hAnsi="楷体_GB2312" w:eastAsia="楷体_GB2312" w:cs="楷体_GB2312"/>
          <w:b/>
          <w:bCs/>
          <w:snapToGrid w:val="0"/>
          <w:kern w:val="0"/>
          <w:sz w:val="32"/>
          <w:szCs w:val="32"/>
        </w:rPr>
        <w:t>商务部分评分  满分12分</w:t>
      </w:r>
    </w:p>
    <w:tbl>
      <w:tblPr>
        <w:tblStyle w:val="8"/>
        <w:tblW w:w="9071" w:type="dxa"/>
        <w:jc w:val="center"/>
        <w:tblLayout w:type="fixed"/>
        <w:tblCellMar>
          <w:top w:w="15" w:type="dxa"/>
          <w:left w:w="15" w:type="dxa"/>
          <w:bottom w:w="15" w:type="dxa"/>
          <w:right w:w="15" w:type="dxa"/>
        </w:tblCellMar>
      </w:tblPr>
      <w:tblGrid>
        <w:gridCol w:w="922"/>
        <w:gridCol w:w="1438"/>
        <w:gridCol w:w="882"/>
        <w:gridCol w:w="5829"/>
      </w:tblGrid>
      <w:tr>
        <w:tblPrEx>
          <w:tblCellMar>
            <w:top w:w="15" w:type="dxa"/>
            <w:left w:w="15" w:type="dxa"/>
            <w:bottom w:w="15" w:type="dxa"/>
            <w:right w:w="15" w:type="dxa"/>
          </w:tblCellMar>
        </w:tblPrEx>
        <w:trPr>
          <w:trHeight w:val="567"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项目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分值</w:t>
            </w:r>
          </w:p>
        </w:tc>
        <w:tc>
          <w:tcPr>
            <w:tcW w:w="5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评分方法描述</w:t>
            </w:r>
          </w:p>
        </w:tc>
      </w:tr>
      <w:tr>
        <w:tblPrEx>
          <w:tblCellMar>
            <w:top w:w="15" w:type="dxa"/>
            <w:left w:w="15" w:type="dxa"/>
            <w:bottom w:w="15" w:type="dxa"/>
            <w:right w:w="15" w:type="dxa"/>
          </w:tblCellMar>
        </w:tblPrEx>
        <w:trPr>
          <w:trHeight w:val="567"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案例</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5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自2022年1月1日起（以合同签订时间为准）供应商承接的文化展览展示项目或地理标志相关项目案例进行评议：每提供1项案例得1分，满分3分。</w:t>
            </w:r>
          </w:p>
          <w:p>
            <w:pPr>
              <w:widowControl/>
              <w:spacing w:line="240" w:lineRule="auto"/>
              <w:jc w:val="left"/>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注：提供案例项目的中标/成交公告、中标/成交通知书复印件、合同文本复印件，未提供或提供不齐全的不得分。（未按要求提供材料的将不予计算案例，案例不可重复计算，提供虚假资料的将按无效标处理）。</w:t>
            </w:r>
          </w:p>
        </w:tc>
      </w:tr>
      <w:tr>
        <w:tblPrEx>
          <w:tblCellMar>
            <w:top w:w="15" w:type="dxa"/>
            <w:left w:w="15" w:type="dxa"/>
            <w:bottom w:w="15" w:type="dxa"/>
            <w:right w:w="15" w:type="dxa"/>
          </w:tblCellMar>
        </w:tblPrEx>
        <w:trPr>
          <w:trHeight w:val="567"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视频案例</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5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供应商具备拍摄制作地理标志产品相关的视频案例，每提供一个视频得1分，满分3分，须提供图片进行佐证，未提供的不得分。</w:t>
            </w:r>
          </w:p>
        </w:tc>
      </w:tr>
      <w:tr>
        <w:tblPrEx>
          <w:tblCellMar>
            <w:top w:w="15" w:type="dxa"/>
            <w:left w:w="15" w:type="dxa"/>
            <w:bottom w:w="15" w:type="dxa"/>
            <w:right w:w="15" w:type="dxa"/>
          </w:tblCellMar>
        </w:tblPrEx>
        <w:trPr>
          <w:trHeight w:val="567"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响应承诺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5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根据供应商所承诺的服务响应时间进行评分，响应时间≦1小时的得3分；1小时&lt;响应时间≦2小时的得2分；2小时&lt;响应时间≦3小时的得1分，响应时间超过3小时，不得分。备注：承诺函格式自拟并加盖公章。</w:t>
            </w:r>
          </w:p>
        </w:tc>
      </w:tr>
      <w:tr>
        <w:tblPrEx>
          <w:tblCellMar>
            <w:top w:w="15" w:type="dxa"/>
            <w:left w:w="15" w:type="dxa"/>
            <w:bottom w:w="15" w:type="dxa"/>
            <w:right w:w="15" w:type="dxa"/>
          </w:tblCellMar>
        </w:tblPrEx>
        <w:trPr>
          <w:trHeight w:val="567"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工期承诺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5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供应商承诺：在承办会展期间具备相应项目承接能力，且不因供应商自身原因造成工期延误等系列问题，由磋商小组进行评议。提供承诺函的得3分，未提供承诺函的不得分。</w:t>
            </w:r>
          </w:p>
        </w:tc>
      </w:tr>
    </w:tbl>
    <w:p>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76" w:lineRule="exact"/>
        <w:ind w:firstLine="642"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（三）</w:t>
      </w:r>
      <w:r>
        <w:rPr>
          <w:rFonts w:hint="eastAsia" w:ascii="楷体_GB2312" w:hAnsi="楷体_GB2312" w:eastAsia="楷体_GB2312" w:cs="楷体_GB2312"/>
          <w:b/>
          <w:bCs/>
          <w:snapToGrid w:val="0"/>
          <w:kern w:val="0"/>
          <w:sz w:val="32"/>
          <w:szCs w:val="32"/>
        </w:rPr>
        <w:t>价格部分评分  满分13分</w:t>
      </w:r>
    </w:p>
    <w:tbl>
      <w:tblPr>
        <w:tblStyle w:val="8"/>
        <w:tblW w:w="90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2"/>
        <w:gridCol w:w="1454"/>
        <w:gridCol w:w="881"/>
        <w:gridCol w:w="58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92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4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kern w:val="0"/>
                <w:sz w:val="28"/>
                <w:szCs w:val="28"/>
              </w:rPr>
              <w:t>项目</w:t>
            </w:r>
          </w:p>
        </w:tc>
        <w:tc>
          <w:tcPr>
            <w:tcW w:w="88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kern w:val="0"/>
                <w:sz w:val="28"/>
                <w:szCs w:val="28"/>
              </w:rPr>
              <w:t>分值</w:t>
            </w:r>
          </w:p>
        </w:tc>
        <w:tc>
          <w:tcPr>
            <w:tcW w:w="581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kern w:val="0"/>
                <w:sz w:val="28"/>
                <w:szCs w:val="28"/>
              </w:rPr>
              <w:t>评分方法描述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22" w:type="dxa"/>
            <w:vMerge w:val="restart"/>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45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报价情况</w:t>
            </w:r>
          </w:p>
        </w:tc>
        <w:tc>
          <w:tcPr>
            <w:tcW w:w="88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5814" w:type="dxa"/>
            <w:vMerge w:val="restart"/>
            <w:tcBorders>
              <w:top w:val="outset" w:color="auto" w:sz="6" w:space="0"/>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采用低价优先法计算，即满足采购文件要求且报价最低的供应商的价格为基准价，其价格分为满分。其他供应商的价格分统一按照下列公式计算：报价得分=（基准价／报价）×价格权值（0.10）×100。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22"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8"/>
                <w:szCs w:val="28"/>
              </w:rPr>
            </w:pPr>
          </w:p>
        </w:tc>
        <w:tc>
          <w:tcPr>
            <w:tcW w:w="1454"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8"/>
                <w:szCs w:val="28"/>
              </w:rPr>
            </w:pPr>
          </w:p>
        </w:tc>
        <w:tc>
          <w:tcPr>
            <w:tcW w:w="881"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8"/>
                <w:szCs w:val="28"/>
              </w:rPr>
            </w:pPr>
          </w:p>
        </w:tc>
        <w:tc>
          <w:tcPr>
            <w:tcW w:w="5814"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5" w:hRule="atLeast"/>
          <w:jc w:val="center"/>
        </w:trPr>
        <w:tc>
          <w:tcPr>
            <w:tcW w:w="922"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8"/>
                <w:szCs w:val="28"/>
              </w:rPr>
            </w:pPr>
          </w:p>
        </w:tc>
        <w:tc>
          <w:tcPr>
            <w:tcW w:w="1454"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8"/>
                <w:szCs w:val="28"/>
              </w:rPr>
            </w:pPr>
          </w:p>
        </w:tc>
        <w:tc>
          <w:tcPr>
            <w:tcW w:w="881"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8"/>
                <w:szCs w:val="28"/>
              </w:rPr>
            </w:pPr>
          </w:p>
        </w:tc>
        <w:tc>
          <w:tcPr>
            <w:tcW w:w="5814" w:type="dxa"/>
            <w:vMerge w:val="continue"/>
            <w:tcBorders>
              <w:left w:val="outset" w:color="auto" w:sz="6" w:space="0"/>
              <w:right w:val="outset" w:color="auto" w:sz="6"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40" w:lineRule="exact"/>
        <w:textAlignment w:val="auto"/>
        <w:rPr>
          <w:rFonts w:hint="eastAsia"/>
          <w:u w:val="single"/>
        </w:rPr>
      </w:pPr>
    </w:p>
    <w:sectPr>
      <w:footerReference r:id="rId6" w:type="default"/>
      <w:pgSz w:w="11906" w:h="16838"/>
      <w:pgMar w:top="2098" w:right="1474" w:bottom="1984" w:left="1587" w:header="851" w:footer="1134"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left"/>
      <w:rPr>
        <w:rFonts w:ascii="Calibri" w:hAnsi="Calibri" w:eastAsia="宋体"/>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eastAsia="宋体"/>
        <w:kern w:val="0"/>
        <w:sz w:val="18"/>
        <w:szCs w:val="18"/>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2108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0210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default" w:ascii="宋体" w:hAnsi="宋体" w:eastAsia="宋体" w:cs="宋体"/>
                              <w:sz w:val="28"/>
                              <w:szCs w:val="28"/>
                              <w:lang w:val="en-US" w:eastAsia="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PAGE   \* MERGEFORMAT</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lang w:val="zh-CN"/>
                            </w:rPr>
                            <w:t>13</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80.4pt;mso-position-horizontal:outside;mso-position-horizontal-relative:margin;z-index:251659264;mso-width-relative:page;mso-height-relative:page;" filled="f" stroked="f" coordsize="21600,21600" o:gfxdata="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B17TatMAAAAFAQAADwAAAAAAAAABACAAAAA4AAAAZHJzL2Rvd25yZXYueG1s&#10;UEsBAhQAFAAAAAgAh07iQHJSqJggAgAAKwQAAA4AAAAAAAAAAQAgAAAAOAEAAGRycy9lMm9Eb2Mu&#10;eG1sUEsFBgAAAAAGAAYAWQEAAMo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default" w:ascii="宋体" w:hAnsi="宋体" w:eastAsia="宋体" w:cs="宋体"/>
                        <w:sz w:val="28"/>
                        <w:szCs w:val="28"/>
                        <w:lang w:val="en-US" w:eastAsia="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PAGE   \* MERGEFORMAT</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lang w:val="zh-CN"/>
                      </w:rPr>
                      <w:t>13</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F6"/>
    <w:rsid w:val="00006261"/>
    <w:rsid w:val="0001752F"/>
    <w:rsid w:val="000535EE"/>
    <w:rsid w:val="00055B47"/>
    <w:rsid w:val="00073336"/>
    <w:rsid w:val="00084BA8"/>
    <w:rsid w:val="00090F7B"/>
    <w:rsid w:val="00095888"/>
    <w:rsid w:val="000B0FAD"/>
    <w:rsid w:val="000B1688"/>
    <w:rsid w:val="000B6A72"/>
    <w:rsid w:val="000C75F7"/>
    <w:rsid w:val="000D113B"/>
    <w:rsid w:val="000D242C"/>
    <w:rsid w:val="000D39F8"/>
    <w:rsid w:val="000D42D6"/>
    <w:rsid w:val="000E0F14"/>
    <w:rsid w:val="000E3548"/>
    <w:rsid w:val="0010436B"/>
    <w:rsid w:val="00114B63"/>
    <w:rsid w:val="001227C4"/>
    <w:rsid w:val="00133543"/>
    <w:rsid w:val="00133FF3"/>
    <w:rsid w:val="00151DA9"/>
    <w:rsid w:val="00172653"/>
    <w:rsid w:val="00173D17"/>
    <w:rsid w:val="001A120F"/>
    <w:rsid w:val="001A3483"/>
    <w:rsid w:val="001A6FC5"/>
    <w:rsid w:val="001B04A1"/>
    <w:rsid w:val="001B4A18"/>
    <w:rsid w:val="001B6430"/>
    <w:rsid w:val="001C31E5"/>
    <w:rsid w:val="001D280C"/>
    <w:rsid w:val="001D52C2"/>
    <w:rsid w:val="001D70D2"/>
    <w:rsid w:val="001E1899"/>
    <w:rsid w:val="001E548F"/>
    <w:rsid w:val="00202B72"/>
    <w:rsid w:val="00206876"/>
    <w:rsid w:val="002074A2"/>
    <w:rsid w:val="002100D2"/>
    <w:rsid w:val="00210AE9"/>
    <w:rsid w:val="00242E52"/>
    <w:rsid w:val="002521F9"/>
    <w:rsid w:val="00255510"/>
    <w:rsid w:val="002557D6"/>
    <w:rsid w:val="00256EEF"/>
    <w:rsid w:val="00280241"/>
    <w:rsid w:val="00286FE5"/>
    <w:rsid w:val="00295759"/>
    <w:rsid w:val="002A3758"/>
    <w:rsid w:val="002C5806"/>
    <w:rsid w:val="002E2518"/>
    <w:rsid w:val="002F6D01"/>
    <w:rsid w:val="00323080"/>
    <w:rsid w:val="003301E8"/>
    <w:rsid w:val="0033218A"/>
    <w:rsid w:val="00337367"/>
    <w:rsid w:val="003532A5"/>
    <w:rsid w:val="003657E0"/>
    <w:rsid w:val="00365E73"/>
    <w:rsid w:val="00372102"/>
    <w:rsid w:val="0037657C"/>
    <w:rsid w:val="0037742E"/>
    <w:rsid w:val="003855D2"/>
    <w:rsid w:val="00385BFD"/>
    <w:rsid w:val="003A2113"/>
    <w:rsid w:val="003A3793"/>
    <w:rsid w:val="003A63BD"/>
    <w:rsid w:val="003C0C77"/>
    <w:rsid w:val="003D2985"/>
    <w:rsid w:val="003D32C4"/>
    <w:rsid w:val="003D4B0F"/>
    <w:rsid w:val="003D63A5"/>
    <w:rsid w:val="003E0567"/>
    <w:rsid w:val="003E7CC5"/>
    <w:rsid w:val="004100E2"/>
    <w:rsid w:val="00413EC6"/>
    <w:rsid w:val="00420131"/>
    <w:rsid w:val="00427F09"/>
    <w:rsid w:val="004407A7"/>
    <w:rsid w:val="00440A58"/>
    <w:rsid w:val="00444F1B"/>
    <w:rsid w:val="004532C4"/>
    <w:rsid w:val="00465746"/>
    <w:rsid w:val="00480A66"/>
    <w:rsid w:val="00483C3B"/>
    <w:rsid w:val="00495CA6"/>
    <w:rsid w:val="004A03BC"/>
    <w:rsid w:val="004A3EA2"/>
    <w:rsid w:val="004A3F58"/>
    <w:rsid w:val="004A7F56"/>
    <w:rsid w:val="004C1128"/>
    <w:rsid w:val="004C48FD"/>
    <w:rsid w:val="0051579E"/>
    <w:rsid w:val="00524B5C"/>
    <w:rsid w:val="00534E48"/>
    <w:rsid w:val="0055010D"/>
    <w:rsid w:val="00556B12"/>
    <w:rsid w:val="00563129"/>
    <w:rsid w:val="00570764"/>
    <w:rsid w:val="005730BC"/>
    <w:rsid w:val="00585750"/>
    <w:rsid w:val="005A2729"/>
    <w:rsid w:val="005D687F"/>
    <w:rsid w:val="005E1A54"/>
    <w:rsid w:val="005F0645"/>
    <w:rsid w:val="005F5D49"/>
    <w:rsid w:val="0060662B"/>
    <w:rsid w:val="00610C12"/>
    <w:rsid w:val="00621D87"/>
    <w:rsid w:val="006311E8"/>
    <w:rsid w:val="00636D4C"/>
    <w:rsid w:val="00636EFF"/>
    <w:rsid w:val="006419EB"/>
    <w:rsid w:val="006453D8"/>
    <w:rsid w:val="00655100"/>
    <w:rsid w:val="006574F1"/>
    <w:rsid w:val="00672D85"/>
    <w:rsid w:val="006801D1"/>
    <w:rsid w:val="006A1F76"/>
    <w:rsid w:val="006A3253"/>
    <w:rsid w:val="006A5C23"/>
    <w:rsid w:val="006B13FB"/>
    <w:rsid w:val="006F36BA"/>
    <w:rsid w:val="006F6A72"/>
    <w:rsid w:val="00707A10"/>
    <w:rsid w:val="00711BB0"/>
    <w:rsid w:val="00716417"/>
    <w:rsid w:val="007177CD"/>
    <w:rsid w:val="00721EA0"/>
    <w:rsid w:val="00722738"/>
    <w:rsid w:val="00725CB2"/>
    <w:rsid w:val="00737193"/>
    <w:rsid w:val="0074487F"/>
    <w:rsid w:val="00747899"/>
    <w:rsid w:val="00757E91"/>
    <w:rsid w:val="00762749"/>
    <w:rsid w:val="00770DCF"/>
    <w:rsid w:val="007822E6"/>
    <w:rsid w:val="00792737"/>
    <w:rsid w:val="00794077"/>
    <w:rsid w:val="007962F6"/>
    <w:rsid w:val="007A71DF"/>
    <w:rsid w:val="007B0522"/>
    <w:rsid w:val="007B4B1E"/>
    <w:rsid w:val="007C01EA"/>
    <w:rsid w:val="007C4528"/>
    <w:rsid w:val="007D19AD"/>
    <w:rsid w:val="007E4A7D"/>
    <w:rsid w:val="007F4013"/>
    <w:rsid w:val="00807066"/>
    <w:rsid w:val="00811687"/>
    <w:rsid w:val="00812353"/>
    <w:rsid w:val="0083405D"/>
    <w:rsid w:val="00837B35"/>
    <w:rsid w:val="00856381"/>
    <w:rsid w:val="00860BD9"/>
    <w:rsid w:val="00862DCF"/>
    <w:rsid w:val="00863327"/>
    <w:rsid w:val="008642C6"/>
    <w:rsid w:val="00882BCC"/>
    <w:rsid w:val="00885165"/>
    <w:rsid w:val="008A25EE"/>
    <w:rsid w:val="008A37B9"/>
    <w:rsid w:val="008A46C4"/>
    <w:rsid w:val="008A6464"/>
    <w:rsid w:val="008B4415"/>
    <w:rsid w:val="008B7372"/>
    <w:rsid w:val="008C579C"/>
    <w:rsid w:val="008D2DC5"/>
    <w:rsid w:val="008D5DFB"/>
    <w:rsid w:val="008E07EA"/>
    <w:rsid w:val="008E10B7"/>
    <w:rsid w:val="008E1ADF"/>
    <w:rsid w:val="00903019"/>
    <w:rsid w:val="0092168C"/>
    <w:rsid w:val="00924551"/>
    <w:rsid w:val="009378C9"/>
    <w:rsid w:val="00940013"/>
    <w:rsid w:val="0094054C"/>
    <w:rsid w:val="00941F71"/>
    <w:rsid w:val="0096283A"/>
    <w:rsid w:val="00991468"/>
    <w:rsid w:val="00995D4B"/>
    <w:rsid w:val="00996263"/>
    <w:rsid w:val="009A306A"/>
    <w:rsid w:val="009A42FF"/>
    <w:rsid w:val="009B68AD"/>
    <w:rsid w:val="009D1917"/>
    <w:rsid w:val="009D7896"/>
    <w:rsid w:val="009F4E54"/>
    <w:rsid w:val="009F6D0E"/>
    <w:rsid w:val="00A1127B"/>
    <w:rsid w:val="00A15AAD"/>
    <w:rsid w:val="00A33B21"/>
    <w:rsid w:val="00A33B45"/>
    <w:rsid w:val="00A4214E"/>
    <w:rsid w:val="00A4354D"/>
    <w:rsid w:val="00A46DA9"/>
    <w:rsid w:val="00A552BF"/>
    <w:rsid w:val="00A57EAC"/>
    <w:rsid w:val="00A609F0"/>
    <w:rsid w:val="00A66740"/>
    <w:rsid w:val="00A73696"/>
    <w:rsid w:val="00A90052"/>
    <w:rsid w:val="00A92077"/>
    <w:rsid w:val="00A964CD"/>
    <w:rsid w:val="00AC7975"/>
    <w:rsid w:val="00AD021E"/>
    <w:rsid w:val="00AD0DFE"/>
    <w:rsid w:val="00AE0CBA"/>
    <w:rsid w:val="00AF7AA7"/>
    <w:rsid w:val="00AF7C96"/>
    <w:rsid w:val="00B07F7C"/>
    <w:rsid w:val="00B15AF8"/>
    <w:rsid w:val="00B164DE"/>
    <w:rsid w:val="00B23D5A"/>
    <w:rsid w:val="00B41886"/>
    <w:rsid w:val="00B54D7B"/>
    <w:rsid w:val="00B62DEE"/>
    <w:rsid w:val="00B67326"/>
    <w:rsid w:val="00B804AC"/>
    <w:rsid w:val="00B973C1"/>
    <w:rsid w:val="00BB596F"/>
    <w:rsid w:val="00BC4AC8"/>
    <w:rsid w:val="00BC7FF4"/>
    <w:rsid w:val="00BD407D"/>
    <w:rsid w:val="00BD738D"/>
    <w:rsid w:val="00BE2938"/>
    <w:rsid w:val="00BF03D6"/>
    <w:rsid w:val="00C0033E"/>
    <w:rsid w:val="00C06D34"/>
    <w:rsid w:val="00C13FF9"/>
    <w:rsid w:val="00C169B3"/>
    <w:rsid w:val="00C40429"/>
    <w:rsid w:val="00C5243A"/>
    <w:rsid w:val="00C52FEB"/>
    <w:rsid w:val="00C569F4"/>
    <w:rsid w:val="00C75879"/>
    <w:rsid w:val="00C83B15"/>
    <w:rsid w:val="00CA7682"/>
    <w:rsid w:val="00CE1D9B"/>
    <w:rsid w:val="00CE328F"/>
    <w:rsid w:val="00CF50FA"/>
    <w:rsid w:val="00D01F4F"/>
    <w:rsid w:val="00D0289E"/>
    <w:rsid w:val="00D03456"/>
    <w:rsid w:val="00D078C0"/>
    <w:rsid w:val="00D12A76"/>
    <w:rsid w:val="00D24570"/>
    <w:rsid w:val="00D31B5D"/>
    <w:rsid w:val="00D32D1B"/>
    <w:rsid w:val="00D365CA"/>
    <w:rsid w:val="00D43869"/>
    <w:rsid w:val="00D455EA"/>
    <w:rsid w:val="00D53C2B"/>
    <w:rsid w:val="00D566B1"/>
    <w:rsid w:val="00D66BAE"/>
    <w:rsid w:val="00D754D4"/>
    <w:rsid w:val="00D77DC3"/>
    <w:rsid w:val="00D81C0B"/>
    <w:rsid w:val="00D8268C"/>
    <w:rsid w:val="00D8480E"/>
    <w:rsid w:val="00D85786"/>
    <w:rsid w:val="00D868F8"/>
    <w:rsid w:val="00DA22DF"/>
    <w:rsid w:val="00DA7B4C"/>
    <w:rsid w:val="00DB30C3"/>
    <w:rsid w:val="00DC1042"/>
    <w:rsid w:val="00DC1A4B"/>
    <w:rsid w:val="00DD0056"/>
    <w:rsid w:val="00DD7DF7"/>
    <w:rsid w:val="00DE1829"/>
    <w:rsid w:val="00DF3861"/>
    <w:rsid w:val="00E1717D"/>
    <w:rsid w:val="00E44362"/>
    <w:rsid w:val="00E540EC"/>
    <w:rsid w:val="00E577CC"/>
    <w:rsid w:val="00E67708"/>
    <w:rsid w:val="00E75C03"/>
    <w:rsid w:val="00E9619A"/>
    <w:rsid w:val="00EB1178"/>
    <w:rsid w:val="00EB711A"/>
    <w:rsid w:val="00EC4A81"/>
    <w:rsid w:val="00EC55BD"/>
    <w:rsid w:val="00ED2092"/>
    <w:rsid w:val="00EF6A1C"/>
    <w:rsid w:val="00F043F7"/>
    <w:rsid w:val="00F14D04"/>
    <w:rsid w:val="00F25006"/>
    <w:rsid w:val="00F31C06"/>
    <w:rsid w:val="00F354DF"/>
    <w:rsid w:val="00F3648F"/>
    <w:rsid w:val="00F408F6"/>
    <w:rsid w:val="00F4795C"/>
    <w:rsid w:val="00F5658E"/>
    <w:rsid w:val="00F6657B"/>
    <w:rsid w:val="00F71278"/>
    <w:rsid w:val="00F7452B"/>
    <w:rsid w:val="00F748C6"/>
    <w:rsid w:val="00F80771"/>
    <w:rsid w:val="00F86648"/>
    <w:rsid w:val="00FB43A2"/>
    <w:rsid w:val="00FC3EF3"/>
    <w:rsid w:val="00FE0180"/>
    <w:rsid w:val="01C247F0"/>
    <w:rsid w:val="01C51096"/>
    <w:rsid w:val="2BE11590"/>
    <w:rsid w:val="3F9567DF"/>
    <w:rsid w:val="55EC4DE0"/>
    <w:rsid w:val="5DFF91D8"/>
    <w:rsid w:val="6D5A7361"/>
    <w:rsid w:val="6E337470"/>
    <w:rsid w:val="7DB32784"/>
    <w:rsid w:val="7FD68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4" w:lineRule="exact"/>
      <w:jc w:val="both"/>
    </w:pPr>
    <w:rPr>
      <w:rFonts w:ascii="黑体" w:hAnsi="黑体" w:eastAsia="方正仿宋简体"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toc 5"/>
    <w:basedOn w:val="1"/>
    <w:next w:val="1"/>
    <w:qFormat/>
    <w:uiPriority w:val="0"/>
    <w:pPr>
      <w:ind w:left="1680" w:leftChars="800"/>
    </w:pPr>
    <w:rPr>
      <w:rFonts w:ascii="Calibri" w:hAnsi="Calibri" w:eastAsia="宋体"/>
    </w:rPr>
  </w:style>
  <w:style w:type="paragraph" w:styleId="4">
    <w:name w:val="footer"/>
    <w:basedOn w:val="1"/>
    <w:link w:val="11"/>
    <w:unhideWhenUsed/>
    <w:qFormat/>
    <w:uiPriority w:val="99"/>
    <w:pPr>
      <w:tabs>
        <w:tab w:val="center" w:pos="4153"/>
        <w:tab w:val="right" w:pos="8306"/>
      </w:tabs>
      <w:adjustRightInd/>
      <w:spacing w:line="240" w:lineRule="auto"/>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adjustRightInd/>
      <w:spacing w:line="240" w:lineRule="auto"/>
      <w:jc w:val="center"/>
    </w:pPr>
    <w:rPr>
      <w:rFonts w:asciiTheme="minorHAnsi" w:hAnsiTheme="minorHAnsi" w:eastAsiaTheme="minorEastAsia" w:cstheme="minorBidi"/>
      <w:sz w:val="18"/>
      <w:szCs w:val="18"/>
    </w:rPr>
  </w:style>
  <w:style w:type="paragraph" w:styleId="6">
    <w:name w:val="Normal (Web)"/>
    <w:basedOn w:val="1"/>
    <w:qFormat/>
    <w:uiPriority w:val="0"/>
    <w:pPr>
      <w:adjustRightInd/>
      <w:snapToGrid/>
      <w:spacing w:beforeAutospacing="1" w:afterAutospacing="1" w:line="240" w:lineRule="auto"/>
      <w:jc w:val="left"/>
    </w:pPr>
    <w:rPr>
      <w:rFonts w:asciiTheme="minorHAnsi" w:hAnsiTheme="minorHAnsi" w:eastAsiaTheme="minorEastAsia"/>
      <w:kern w:val="0"/>
      <w:sz w:val="24"/>
    </w:rPr>
  </w:style>
  <w:style w:type="paragraph" w:styleId="7">
    <w:name w:val="Body Text First Indent 2"/>
    <w:basedOn w:val="2"/>
    <w:link w:val="13"/>
    <w:unhideWhenUsed/>
    <w:qFormat/>
    <w:uiPriority w:val="99"/>
    <w:pPr>
      <w:spacing w:line="240" w:lineRule="auto"/>
      <w:ind w:firstLine="420" w:firstLineChars="200"/>
    </w:pPr>
    <w:rPr>
      <w:rFonts w:ascii="Times New Roman" w:hAnsi="Times New Roman"/>
      <w:sz w:val="28"/>
    </w:r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正文文本缩进 Char"/>
    <w:basedOn w:val="9"/>
    <w:link w:val="2"/>
    <w:semiHidden/>
    <w:qFormat/>
    <w:uiPriority w:val="99"/>
    <w:rPr>
      <w:rFonts w:ascii="黑体" w:hAnsi="黑体" w:eastAsia="方正仿宋简体" w:cs="Times New Roman"/>
      <w:sz w:val="32"/>
      <w:szCs w:val="24"/>
    </w:rPr>
  </w:style>
  <w:style w:type="character" w:customStyle="1" w:styleId="13">
    <w:name w:val="正文首行缩进 2 Char"/>
    <w:basedOn w:val="12"/>
    <w:link w:val="7"/>
    <w:qFormat/>
    <w:uiPriority w:val="99"/>
    <w:rPr>
      <w:rFonts w:ascii="Times New Roman" w:hAnsi="Times New Roman" w:eastAsia="方正仿宋简体" w:cs="Times New Roman"/>
      <w:sz w:val="28"/>
      <w:szCs w:val="24"/>
    </w:rPr>
  </w:style>
  <w:style w:type="paragraph" w:customStyle="1" w:styleId="14">
    <w:name w:val="null3"/>
    <w:qFormat/>
    <w:uiPriority w:val="0"/>
    <w:rPr>
      <w:rFonts w:hint="eastAsia" w:ascii="Calibri" w:hAnsi="Calibri" w:eastAsia="宋体" w:cs="Times New Roman"/>
      <w:kern w:val="2"/>
      <w:sz w:val="21"/>
      <w:szCs w:val="24"/>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5887</Words>
  <Characters>6109</Characters>
  <Lines>44</Lines>
  <Paragraphs>12</Paragraphs>
  <TotalTime>16</TotalTime>
  <ScaleCrop>false</ScaleCrop>
  <LinksUpToDate>false</LinksUpToDate>
  <CharactersWithSpaces>6121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2024-08-31T03:06:00Z</dcterms:created>
  <dc:creator>Qiu</dc:creator>
  <cp:lastModifiedBy>黄婧</cp:lastModifiedBy>
  <cp:lastPrinted>2025-08-13T09:43:00Z</cp:lastPrinted>
  <dcterms:modified xsi:type="dcterms:W3CDTF">2025-08-14T10:34:53Z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eyJoZGlkIjoiZDcxYTQ2Njg4NGI0YmEwNTA3MzJhYjk2MzUxYjVkYWIiLCJ1c2VySWQiOiI1MzMzMzg0MzAifQ==</vt:lpwstr>
  </property>
  <property fmtid="{D5CDD505-2E9C-101B-9397-08002B2CF9AE}" pid="4" name="ICV">
    <vt:lpwstr>A114B6682116472CB7D98EDC97355998_13</vt:lpwstr>
  </property>
</Properties>
</file>