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B0516">
      <w:pPr>
        <w:spacing w:line="360" w:lineRule="auto"/>
        <w:jc w:val="left"/>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附件</w:t>
      </w:r>
    </w:p>
    <w:p w14:paraId="4506A3CA">
      <w:pPr>
        <w:spacing w:line="360" w:lineRule="auto"/>
        <w:jc w:val="center"/>
        <w:rPr>
          <w:rFonts w:hint="eastAsia" w:ascii="方正小标宋简体" w:hAnsi="方正小标宋简体" w:eastAsia="方正小标宋简体" w:cs="方正小标宋简体"/>
          <w:sz w:val="36"/>
          <w:szCs w:val="36"/>
        </w:rPr>
      </w:pPr>
      <w:bookmarkStart w:id="1" w:name="_GoBack"/>
      <w:bookmarkEnd w:id="1"/>
      <w:r>
        <w:rPr>
          <w:rFonts w:hint="eastAsia" w:ascii="方正小标宋简体" w:hAnsi="方正小标宋简体" w:eastAsia="方正小标宋简体" w:cs="方正小标宋简体"/>
          <w:sz w:val="36"/>
          <w:szCs w:val="36"/>
        </w:rPr>
        <w:t>“福建省市场</w:t>
      </w:r>
      <w:r>
        <w:rPr>
          <w:rFonts w:hint="eastAsia" w:ascii="方正小标宋简体" w:hAnsi="方正小标宋简体" w:eastAsia="方正小标宋简体" w:cs="方正小标宋简体"/>
          <w:sz w:val="36"/>
          <w:szCs w:val="36"/>
          <w:lang w:eastAsia="zh-CN"/>
        </w:rPr>
        <w:t>监督管理局</w:t>
      </w:r>
      <w:r>
        <w:rPr>
          <w:rFonts w:hint="eastAsia" w:ascii="方正小标宋简体" w:hAnsi="方正小标宋简体" w:eastAsia="方正小标宋简体" w:cs="方正小标宋简体"/>
          <w:sz w:val="36"/>
          <w:szCs w:val="36"/>
        </w:rPr>
        <w:t>经营主体注册服务</w:t>
      </w:r>
    </w:p>
    <w:p w14:paraId="60066926">
      <w:pPr>
        <w:spacing w:line="360" w:lineRule="auto"/>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提升项目”报价表</w:t>
      </w:r>
    </w:p>
    <w:p w14:paraId="2E47A64C">
      <w:pPr>
        <w:spacing w:line="360" w:lineRule="auto"/>
        <w:jc w:val="center"/>
        <w:rPr>
          <w:rFonts w:ascii="方正小标宋简体" w:hAnsi="方正小标宋简体" w:eastAsia="方正小标宋简体" w:cs="方正小标宋简体"/>
          <w:sz w:val="36"/>
          <w:szCs w:val="36"/>
        </w:rPr>
      </w:pPr>
    </w:p>
    <w:p w14:paraId="6B663E6D">
      <w:pPr>
        <w:jc w:val="righ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20</w:t>
      </w:r>
      <w:r>
        <w:rPr>
          <w:rFonts w:hint="eastAsia" w:ascii="Times New Roman" w:hAnsi="Times New Roman" w:eastAsia="仿宋_GB2312" w:cs="Times New Roman"/>
          <w:kern w:val="0"/>
          <w:sz w:val="32"/>
          <w:szCs w:val="32"/>
        </w:rPr>
        <w:t>2</w:t>
      </w:r>
      <w:r>
        <w:rPr>
          <w:rFonts w:ascii="Times New Roman" w:hAnsi="Times New Roman" w:eastAsia="仿宋_GB2312" w:cs="Times New Roman"/>
          <w:kern w:val="0"/>
          <w:sz w:val="32"/>
          <w:szCs w:val="32"/>
        </w:rPr>
        <w:t>6年</w:t>
      </w:r>
      <w:r>
        <w:rPr>
          <w:rFonts w:hint="eastAsia" w:ascii="Times New Roman" w:hAnsi="Times New Roman" w:eastAsia="仿宋_GB2312" w:cs="Times New Roman"/>
          <w:kern w:val="0"/>
          <w:sz w:val="32"/>
          <w:szCs w:val="32"/>
        </w:rPr>
        <w:t xml:space="preserve">  </w:t>
      </w:r>
      <w:r>
        <w:rPr>
          <w:rFonts w:ascii="Times New Roman" w:hAnsi="Times New Roman" w:eastAsia="仿宋_GB2312" w:cs="Times New Roman"/>
          <w:kern w:val="0"/>
          <w:sz w:val="32"/>
          <w:szCs w:val="32"/>
        </w:rPr>
        <w:t>月</w:t>
      </w:r>
      <w:r>
        <w:rPr>
          <w:rFonts w:hint="eastAsia" w:ascii="Times New Roman" w:hAnsi="Times New Roman" w:eastAsia="仿宋_GB2312" w:cs="Times New Roman"/>
          <w:kern w:val="0"/>
          <w:sz w:val="32"/>
          <w:szCs w:val="32"/>
        </w:rPr>
        <w:t xml:space="preserve">  </w:t>
      </w:r>
      <w:r>
        <w:rPr>
          <w:rFonts w:ascii="Times New Roman" w:hAnsi="Times New Roman" w:eastAsia="仿宋_GB2312" w:cs="Times New Roman"/>
          <w:kern w:val="0"/>
          <w:sz w:val="32"/>
          <w:szCs w:val="32"/>
        </w:rPr>
        <w:t>日</w:t>
      </w:r>
    </w:p>
    <w:p w14:paraId="28E45FE0">
      <w:pPr>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报价</w:t>
      </w:r>
      <w:r>
        <w:rPr>
          <w:rFonts w:hint="eastAsia" w:ascii="Times New Roman" w:hAnsi="Times New Roman" w:eastAsia="仿宋_GB2312" w:cs="Times New Roman"/>
          <w:kern w:val="0"/>
          <w:sz w:val="32"/>
          <w:szCs w:val="32"/>
        </w:rPr>
        <w:t>单位</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u w:val="single"/>
        </w:rPr>
        <w:t xml:space="preserve">  </w:t>
      </w:r>
      <w:r>
        <w:rPr>
          <w:rFonts w:hint="eastAsia" w:ascii="Times New Roman" w:hAnsi="Times New Roman" w:eastAsia="仿宋_GB2312" w:cs="Times New Roman"/>
          <w:kern w:val="0"/>
          <w:sz w:val="32"/>
          <w:szCs w:val="32"/>
          <w:u w:val="single"/>
        </w:rPr>
        <w:t xml:space="preserve">        </w:t>
      </w:r>
      <w:r>
        <w:rPr>
          <w:rFonts w:ascii="Times New Roman" w:hAnsi="Times New Roman" w:eastAsia="仿宋_GB2312" w:cs="Times New Roman"/>
          <w:kern w:val="0"/>
          <w:sz w:val="32"/>
          <w:szCs w:val="32"/>
          <w:u w:val="single"/>
        </w:rPr>
        <w:t xml:space="preserve">  </w:t>
      </w:r>
      <w:r>
        <w:rPr>
          <w:rFonts w:hint="eastAsia" w:ascii="Times New Roman" w:hAnsi="Times New Roman" w:eastAsia="仿宋_GB2312" w:cs="Times New Roman"/>
          <w:kern w:val="0"/>
          <w:sz w:val="32"/>
          <w:szCs w:val="32"/>
          <w:u w:val="single"/>
        </w:rPr>
        <w:t xml:space="preserve"> </w:t>
      </w:r>
      <w:r>
        <w:rPr>
          <w:rFonts w:ascii="Times New Roman" w:hAnsi="Times New Roman" w:eastAsia="仿宋_GB2312" w:cs="Times New Roman"/>
          <w:kern w:val="0"/>
          <w:sz w:val="32"/>
          <w:szCs w:val="32"/>
        </w:rPr>
        <w:t>（盖章）</w:t>
      </w:r>
    </w:p>
    <w:p w14:paraId="1A4E68E4">
      <w:pPr>
        <w:rPr>
          <w:rFonts w:ascii="Times New Roman" w:hAnsi="Times New Roman" w:eastAsia="仿宋_GB2312" w:cs="Times New Roman"/>
          <w:kern w:val="0"/>
          <w:sz w:val="32"/>
          <w:szCs w:val="32"/>
          <w:u w:val="single"/>
        </w:rPr>
      </w:pPr>
      <w:r>
        <w:rPr>
          <w:rFonts w:ascii="Times New Roman" w:hAnsi="Times New Roman" w:eastAsia="仿宋_GB2312" w:cs="Times New Roman"/>
          <w:kern w:val="0"/>
          <w:sz w:val="32"/>
          <w:szCs w:val="32"/>
        </w:rPr>
        <w:t>联系人：</w:t>
      </w:r>
      <w:r>
        <w:rPr>
          <w:rFonts w:ascii="Times New Roman" w:hAnsi="Times New Roman" w:eastAsia="仿宋_GB2312" w:cs="Times New Roman"/>
          <w:kern w:val="0"/>
          <w:sz w:val="32"/>
          <w:szCs w:val="32"/>
          <w:u w:val="single"/>
        </w:rPr>
        <w:t xml:space="preserve">          </w:t>
      </w:r>
      <w:r>
        <w:rPr>
          <w:rFonts w:hint="eastAsia" w:ascii="Times New Roman" w:hAnsi="Times New Roman" w:eastAsia="仿宋_GB2312" w:cs="Times New Roman"/>
          <w:kern w:val="0"/>
          <w:sz w:val="32"/>
          <w:szCs w:val="32"/>
          <w:u w:val="single"/>
        </w:rPr>
        <w:t xml:space="preserve">  </w:t>
      </w:r>
      <w:r>
        <w:rPr>
          <w:rFonts w:ascii="Times New Roman" w:hAnsi="Times New Roman" w:eastAsia="仿宋_GB2312" w:cs="Times New Roman"/>
          <w:kern w:val="0"/>
          <w:sz w:val="32"/>
          <w:szCs w:val="32"/>
          <w:u w:val="single"/>
        </w:rPr>
        <w:t xml:space="preserve">     </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 xml:space="preserve"> </w:t>
      </w:r>
      <w:r>
        <w:rPr>
          <w:rFonts w:ascii="Times New Roman" w:hAnsi="Times New Roman" w:eastAsia="仿宋_GB2312" w:cs="Times New Roman"/>
          <w:kern w:val="0"/>
          <w:sz w:val="32"/>
          <w:szCs w:val="32"/>
        </w:rPr>
        <w:t xml:space="preserve"> 联系电话：</w:t>
      </w:r>
      <w:r>
        <w:rPr>
          <w:rFonts w:ascii="Times New Roman" w:hAnsi="Times New Roman" w:eastAsia="仿宋_GB2312" w:cs="Times New Roman"/>
          <w:kern w:val="0"/>
          <w:sz w:val="32"/>
          <w:szCs w:val="32"/>
          <w:u w:val="single"/>
        </w:rPr>
        <w:t xml:space="preserve">            </w:t>
      </w:r>
    </w:p>
    <w:p w14:paraId="478B0A3D">
      <w:pPr>
        <w:rPr>
          <w:rFonts w:ascii="Times New Roman" w:hAnsi="Times New Roman" w:eastAsia="仿宋_GB2312" w:cs="Times New Roman"/>
          <w:kern w:val="0"/>
          <w:sz w:val="32"/>
          <w:szCs w:val="32"/>
          <w:u w:val="single"/>
        </w:rPr>
      </w:pPr>
    </w:p>
    <w:p w14:paraId="71E1AAF2">
      <w:pPr>
        <w:pStyle w:val="2"/>
        <w:numPr>
          <w:ilvl w:val="0"/>
          <w:numId w:val="0"/>
        </w:numPr>
      </w:pPr>
      <w:r>
        <w:rPr>
          <w:rFonts w:hint="eastAsia"/>
        </w:rPr>
        <w:t>一、项目概况</w:t>
      </w:r>
    </w:p>
    <w:p w14:paraId="632F212B">
      <w:pPr>
        <w:spacing w:line="360" w:lineRule="auto"/>
        <w:ind w:firstLine="480" w:firstLineChars="200"/>
        <w:rPr>
          <w:rFonts w:ascii="宋体" w:hAnsi="宋体" w:eastAsia="宋体" w:cs="Times New Roman"/>
          <w:kern w:val="0"/>
          <w:szCs w:val="32"/>
        </w:rPr>
      </w:pPr>
      <w:r>
        <w:rPr>
          <w:rFonts w:hint="eastAsia" w:ascii="宋体" w:hAnsi="宋体" w:eastAsia="宋体" w:cs="Times New Roman"/>
          <w:kern w:val="0"/>
          <w:szCs w:val="32"/>
        </w:rPr>
        <w:t>本项目拟采购经营主体注册服务提升服务，基于福建省市场监管智慧应用一体化平台，围绕“减环节、减材料、减时限、优服务”要求，为“一照多址”移动端查询、个人独资企业转型</w:t>
      </w:r>
      <w:r>
        <w:rPr>
          <w:rFonts w:hint="eastAsia" w:ascii="宋体" w:hAnsi="宋体" w:eastAsia="宋体" w:cs="Times New Roman"/>
          <w:kern w:val="0"/>
          <w:szCs w:val="32"/>
          <w:lang w:val="en-US" w:eastAsia="zh-CN"/>
        </w:rPr>
        <w:t xml:space="preserve"> </w:t>
      </w:r>
      <w:r>
        <w:rPr>
          <w:rFonts w:hint="eastAsia" w:ascii="宋体" w:hAnsi="宋体" w:eastAsia="宋体" w:cs="Times New Roman"/>
          <w:kern w:val="0"/>
          <w:szCs w:val="32"/>
        </w:rPr>
        <w:t>、迁移清册数据共享、个体工商户登记管理、企业跨省迁移、登记黑名单管理、</w:t>
      </w:r>
      <w:r>
        <w:rPr>
          <w:rFonts w:hint="eastAsia" w:ascii="宋体" w:hAnsi="宋体" w:eastAsia="宋体" w:cs="Times New Roman"/>
          <w:kern w:val="0"/>
          <w:szCs w:val="32"/>
          <w:lang w:eastAsia="zh-CN"/>
        </w:rPr>
        <w:t>登记注册</w:t>
      </w:r>
      <w:r>
        <w:rPr>
          <w:rFonts w:hint="eastAsia" w:ascii="宋体" w:hAnsi="宋体" w:eastAsia="宋体" w:cs="Times New Roman"/>
          <w:kern w:val="0"/>
          <w:szCs w:val="32"/>
        </w:rPr>
        <w:t>代理人信息核验及市场主体退出改革等八项服务内容，提供覆盖业务全程电子化、移动化、智能化的全链条服务支持。</w:t>
      </w:r>
    </w:p>
    <w:p w14:paraId="40C4C231">
      <w:pPr>
        <w:pStyle w:val="2"/>
        <w:numPr>
          <w:ilvl w:val="0"/>
          <w:numId w:val="0"/>
        </w:numPr>
      </w:pPr>
      <w:bookmarkStart w:id="0" w:name="_Toc229556737"/>
      <w:r>
        <w:rPr>
          <w:rFonts w:hint="eastAsia"/>
        </w:rPr>
        <w:t>二、需求内容及分项</w:t>
      </w:r>
      <w:bookmarkEnd w:id="0"/>
      <w:r>
        <w:rPr>
          <w:rFonts w:hint="eastAsia"/>
        </w:rPr>
        <w:t>报价</w:t>
      </w:r>
    </w:p>
    <w:p w14:paraId="1CE4C2CC">
      <w:pPr>
        <w:pStyle w:val="3"/>
        <w:numPr>
          <w:ilvl w:val="1"/>
          <w:numId w:val="2"/>
        </w:numPr>
        <w:ind w:left="0" w:firstLine="0"/>
      </w:pPr>
      <w:r>
        <w:rPr>
          <w:rStyle w:val="12"/>
          <w:rFonts w:hint="eastAsia"/>
          <w:b w:val="0"/>
          <w:bCs w:val="0"/>
        </w:rPr>
        <w:t>移动端营业执照扫码查询“一照多址”服务提升预算</w:t>
      </w:r>
      <w:r>
        <w:rPr>
          <w:rFonts w:hint="eastAsia"/>
        </w:rPr>
        <w:t>表</w:t>
      </w:r>
    </w:p>
    <w:tbl>
      <w:tblPr>
        <w:tblStyle w:val="8"/>
        <w:tblW w:w="8520" w:type="dxa"/>
        <w:tblInd w:w="-5" w:type="dxa"/>
        <w:tblLayout w:type="autofit"/>
        <w:tblCellMar>
          <w:top w:w="0" w:type="dxa"/>
          <w:left w:w="108" w:type="dxa"/>
          <w:bottom w:w="0" w:type="dxa"/>
          <w:right w:w="108" w:type="dxa"/>
        </w:tblCellMar>
      </w:tblPr>
      <w:tblGrid>
        <w:gridCol w:w="776"/>
        <w:gridCol w:w="1735"/>
        <w:gridCol w:w="4709"/>
        <w:gridCol w:w="1300"/>
      </w:tblGrid>
      <w:tr w14:paraId="066504BE">
        <w:tblPrEx>
          <w:tblCellMar>
            <w:top w:w="0" w:type="dxa"/>
            <w:left w:w="108" w:type="dxa"/>
            <w:bottom w:w="0" w:type="dxa"/>
            <w:right w:w="108" w:type="dxa"/>
          </w:tblCellMar>
        </w:tblPrEx>
        <w:trPr>
          <w:trHeight w:val="560" w:hRule="atLeast"/>
          <w:tblHeader/>
        </w:trPr>
        <w:tc>
          <w:tcPr>
            <w:tcW w:w="776" w:type="dxa"/>
            <w:tcBorders>
              <w:top w:val="double" w:color="auto" w:sz="4" w:space="0"/>
              <w:left w:val="double" w:color="auto" w:sz="4" w:space="0"/>
              <w:bottom w:val="single" w:color="auto" w:sz="4" w:space="0"/>
              <w:right w:val="single" w:color="auto" w:sz="4" w:space="0"/>
            </w:tcBorders>
            <w:shd w:val="clear" w:color="000000" w:fill="D9D9D9"/>
            <w:noWrap/>
            <w:vAlign w:val="center"/>
          </w:tcPr>
          <w:p w14:paraId="4158476A">
            <w:pPr>
              <w:widowControl/>
              <w:jc w:val="center"/>
              <w:rPr>
                <w:rFonts w:ascii="宋体" w:hAnsi="宋体" w:cs="宋体"/>
                <w:b/>
                <w:bCs/>
                <w:kern w:val="0"/>
                <w:sz w:val="21"/>
                <w:szCs w:val="21"/>
              </w:rPr>
            </w:pPr>
            <w:r>
              <w:rPr>
                <w:rFonts w:hint="eastAsia" w:ascii="宋体" w:hAnsi="宋体" w:cs="宋体"/>
                <w:b/>
                <w:bCs/>
                <w:kern w:val="0"/>
                <w:sz w:val="21"/>
                <w:szCs w:val="21"/>
              </w:rPr>
              <w:t>编号</w:t>
            </w:r>
          </w:p>
        </w:tc>
        <w:tc>
          <w:tcPr>
            <w:tcW w:w="1735" w:type="dxa"/>
            <w:tcBorders>
              <w:top w:val="double" w:color="auto" w:sz="4" w:space="0"/>
              <w:left w:val="nil"/>
              <w:bottom w:val="single" w:color="auto" w:sz="4" w:space="0"/>
              <w:right w:val="single" w:color="auto" w:sz="4" w:space="0"/>
            </w:tcBorders>
            <w:shd w:val="clear" w:color="000000" w:fill="D9D9D9"/>
            <w:vAlign w:val="center"/>
          </w:tcPr>
          <w:p w14:paraId="007C2DD4">
            <w:pPr>
              <w:widowControl/>
              <w:jc w:val="center"/>
              <w:rPr>
                <w:rFonts w:ascii="宋体" w:hAnsi="宋体" w:cs="宋体"/>
                <w:b/>
                <w:bCs/>
                <w:kern w:val="0"/>
                <w:sz w:val="21"/>
                <w:szCs w:val="21"/>
              </w:rPr>
            </w:pPr>
            <w:r>
              <w:rPr>
                <w:rFonts w:hint="eastAsia" w:ascii="宋体" w:hAnsi="宋体" w:cs="宋体"/>
                <w:b/>
                <w:bCs/>
                <w:kern w:val="0"/>
                <w:sz w:val="21"/>
                <w:szCs w:val="21"/>
              </w:rPr>
              <w:t>项目名称</w:t>
            </w:r>
          </w:p>
        </w:tc>
        <w:tc>
          <w:tcPr>
            <w:tcW w:w="4709" w:type="dxa"/>
            <w:tcBorders>
              <w:top w:val="double" w:color="auto" w:sz="4" w:space="0"/>
              <w:left w:val="nil"/>
              <w:bottom w:val="single" w:color="auto" w:sz="4" w:space="0"/>
              <w:right w:val="single" w:color="auto" w:sz="4" w:space="0"/>
            </w:tcBorders>
            <w:shd w:val="clear" w:color="000000" w:fill="D9D9D9"/>
            <w:vAlign w:val="center"/>
          </w:tcPr>
          <w:p w14:paraId="189E7B12">
            <w:pPr>
              <w:widowControl/>
              <w:jc w:val="center"/>
              <w:rPr>
                <w:rFonts w:ascii="宋体" w:hAnsi="宋体" w:cs="宋体"/>
                <w:b/>
                <w:bCs/>
                <w:kern w:val="0"/>
                <w:sz w:val="21"/>
                <w:szCs w:val="21"/>
              </w:rPr>
            </w:pPr>
            <w:r>
              <w:rPr>
                <w:rFonts w:hint="eastAsia" w:ascii="宋体" w:hAnsi="宋体" w:cs="宋体"/>
                <w:b/>
                <w:bCs/>
                <w:kern w:val="0"/>
                <w:sz w:val="21"/>
                <w:szCs w:val="21"/>
              </w:rPr>
              <w:t>服务需求及说明</w:t>
            </w:r>
          </w:p>
        </w:tc>
        <w:tc>
          <w:tcPr>
            <w:tcW w:w="1300" w:type="dxa"/>
            <w:tcBorders>
              <w:top w:val="double" w:color="auto" w:sz="4" w:space="0"/>
              <w:left w:val="nil"/>
              <w:bottom w:val="single" w:color="auto" w:sz="4" w:space="0"/>
              <w:right w:val="double" w:color="auto" w:sz="4" w:space="0"/>
            </w:tcBorders>
            <w:shd w:val="clear" w:color="000000" w:fill="D9D9D9"/>
            <w:vAlign w:val="center"/>
          </w:tcPr>
          <w:p w14:paraId="0959D19F">
            <w:pPr>
              <w:widowControl/>
              <w:jc w:val="center"/>
              <w:rPr>
                <w:rFonts w:ascii="宋体" w:hAnsi="宋体" w:cs="宋体"/>
                <w:b/>
                <w:bCs/>
                <w:kern w:val="0"/>
                <w:sz w:val="21"/>
                <w:szCs w:val="21"/>
              </w:rPr>
            </w:pPr>
            <w:r>
              <w:rPr>
                <w:rFonts w:hint="eastAsia" w:ascii="宋体" w:hAnsi="宋体" w:cs="宋体"/>
                <w:b/>
                <w:bCs/>
                <w:kern w:val="0"/>
                <w:sz w:val="21"/>
                <w:szCs w:val="21"/>
              </w:rPr>
              <w:t>金额</w:t>
            </w:r>
            <w:r>
              <w:rPr>
                <w:rFonts w:hint="eastAsia" w:ascii="宋体" w:hAnsi="宋体" w:cs="宋体"/>
                <w:b/>
                <w:bCs/>
                <w:kern w:val="0"/>
                <w:sz w:val="21"/>
                <w:szCs w:val="21"/>
              </w:rPr>
              <w:br w:type="textWrapping"/>
            </w:r>
            <w:r>
              <w:rPr>
                <w:rFonts w:hint="eastAsia" w:ascii="宋体" w:hAnsi="宋体" w:cs="宋体"/>
                <w:b/>
                <w:bCs/>
                <w:kern w:val="0"/>
                <w:sz w:val="21"/>
                <w:szCs w:val="21"/>
              </w:rPr>
              <w:t>（万元）</w:t>
            </w:r>
          </w:p>
        </w:tc>
      </w:tr>
      <w:tr w14:paraId="2DEC7AFD">
        <w:tblPrEx>
          <w:tblCellMar>
            <w:top w:w="0" w:type="dxa"/>
            <w:left w:w="108" w:type="dxa"/>
            <w:bottom w:w="0" w:type="dxa"/>
            <w:right w:w="108" w:type="dxa"/>
          </w:tblCellMar>
        </w:tblPrEx>
        <w:trPr>
          <w:trHeight w:val="1120" w:hRule="atLeast"/>
        </w:trPr>
        <w:tc>
          <w:tcPr>
            <w:tcW w:w="776" w:type="dxa"/>
            <w:vMerge w:val="restart"/>
            <w:tcBorders>
              <w:top w:val="nil"/>
              <w:left w:val="double" w:color="auto" w:sz="4" w:space="0"/>
              <w:bottom w:val="single" w:color="000000" w:sz="4" w:space="0"/>
              <w:right w:val="single" w:color="auto" w:sz="4" w:space="0"/>
            </w:tcBorders>
            <w:shd w:val="clear" w:color="auto" w:fill="auto"/>
            <w:noWrap/>
            <w:vAlign w:val="center"/>
          </w:tcPr>
          <w:p w14:paraId="10ED163A">
            <w:pPr>
              <w:widowControl/>
              <w:jc w:val="center"/>
              <w:rPr>
                <w:rFonts w:ascii="宋体" w:hAnsi="宋体" w:cs="宋体"/>
                <w:kern w:val="0"/>
                <w:sz w:val="21"/>
                <w:szCs w:val="21"/>
              </w:rPr>
            </w:pPr>
            <w:r>
              <w:rPr>
                <w:rFonts w:hint="eastAsia" w:ascii="宋体" w:hAnsi="宋体" w:cs="宋体"/>
                <w:kern w:val="0"/>
                <w:sz w:val="21"/>
                <w:szCs w:val="21"/>
              </w:rPr>
              <w:t>1</w:t>
            </w:r>
          </w:p>
        </w:tc>
        <w:tc>
          <w:tcPr>
            <w:tcW w:w="1735" w:type="dxa"/>
            <w:vMerge w:val="restart"/>
            <w:tcBorders>
              <w:top w:val="nil"/>
              <w:left w:val="single" w:color="auto" w:sz="4" w:space="0"/>
              <w:bottom w:val="single" w:color="auto" w:sz="4" w:space="0"/>
              <w:right w:val="single" w:color="auto" w:sz="4" w:space="0"/>
            </w:tcBorders>
            <w:shd w:val="clear" w:color="auto" w:fill="auto"/>
            <w:vAlign w:val="center"/>
          </w:tcPr>
          <w:p w14:paraId="30E59BB3">
            <w:pPr>
              <w:widowControl/>
              <w:jc w:val="left"/>
              <w:rPr>
                <w:rFonts w:ascii="宋体" w:hAnsi="宋体" w:cs="宋体"/>
                <w:kern w:val="0"/>
                <w:sz w:val="21"/>
                <w:szCs w:val="21"/>
              </w:rPr>
            </w:pPr>
            <w:r>
              <w:rPr>
                <w:rFonts w:hint="eastAsia" w:ascii="宋体" w:hAnsi="宋体" w:cs="宋体"/>
                <w:kern w:val="0"/>
                <w:sz w:val="21"/>
                <w:szCs w:val="21"/>
              </w:rPr>
              <w:t>“一照多址”移动端便民查询服务</w:t>
            </w:r>
          </w:p>
        </w:tc>
        <w:tc>
          <w:tcPr>
            <w:tcW w:w="4709" w:type="dxa"/>
            <w:tcBorders>
              <w:top w:val="nil"/>
              <w:left w:val="nil"/>
              <w:bottom w:val="single" w:color="auto" w:sz="4" w:space="0"/>
              <w:right w:val="single" w:color="auto" w:sz="4" w:space="0"/>
            </w:tcBorders>
            <w:shd w:val="clear" w:color="auto" w:fill="auto"/>
            <w:vAlign w:val="center"/>
          </w:tcPr>
          <w:p w14:paraId="391C0CFD">
            <w:pPr>
              <w:widowControl/>
              <w:jc w:val="left"/>
              <w:rPr>
                <w:rFonts w:ascii="宋体" w:hAnsi="宋体" w:cs="宋体"/>
                <w:kern w:val="0"/>
                <w:sz w:val="21"/>
                <w:szCs w:val="21"/>
              </w:rPr>
            </w:pPr>
            <w:r>
              <w:rPr>
                <w:rFonts w:hint="eastAsia" w:ascii="宋体" w:hAnsi="宋体" w:cs="宋体"/>
                <w:kern w:val="0"/>
                <w:sz w:val="21"/>
                <w:szCs w:val="21"/>
              </w:rPr>
              <w:t>依托闽政通APP，提供移动端小程序用户鉴权与登录服务，实现“一照多址”移动端便民查询模块与闽政通的用户身份安全验证和平台单点登录；同时衔接福建省市场监管智慧应用一体化平台用户鉴权机制，完成平台间用户身份安全验证和单点登录。通过加强用户使用行为审查，为“一照多址”移动端便民服务打造便捷、安全、可追溯的服务入口，提升用户使用体验与安全保障水平。</w:t>
            </w:r>
          </w:p>
        </w:tc>
        <w:tc>
          <w:tcPr>
            <w:tcW w:w="1300" w:type="dxa"/>
            <w:vMerge w:val="restart"/>
            <w:tcBorders>
              <w:top w:val="nil"/>
              <w:left w:val="single" w:color="auto" w:sz="4" w:space="0"/>
              <w:bottom w:val="single" w:color="000000" w:sz="4" w:space="0"/>
              <w:right w:val="double" w:color="auto" w:sz="4" w:space="0"/>
            </w:tcBorders>
            <w:shd w:val="clear" w:color="auto" w:fill="auto"/>
            <w:noWrap/>
            <w:vAlign w:val="center"/>
          </w:tcPr>
          <w:p w14:paraId="4434E04B">
            <w:pPr>
              <w:widowControl/>
              <w:jc w:val="center"/>
              <w:rPr>
                <w:rFonts w:ascii="宋体" w:hAnsi="宋体" w:cs="宋体"/>
                <w:kern w:val="0"/>
                <w:sz w:val="21"/>
                <w:szCs w:val="21"/>
              </w:rPr>
            </w:pPr>
          </w:p>
        </w:tc>
      </w:tr>
      <w:tr w14:paraId="5A13A888">
        <w:tblPrEx>
          <w:tblCellMar>
            <w:top w:w="0" w:type="dxa"/>
            <w:left w:w="108" w:type="dxa"/>
            <w:bottom w:w="0" w:type="dxa"/>
            <w:right w:w="108" w:type="dxa"/>
          </w:tblCellMar>
        </w:tblPrEx>
        <w:trPr>
          <w:trHeight w:val="1120" w:hRule="atLeast"/>
        </w:trPr>
        <w:tc>
          <w:tcPr>
            <w:tcW w:w="776" w:type="dxa"/>
            <w:vMerge w:val="continue"/>
            <w:tcBorders>
              <w:top w:val="nil"/>
              <w:left w:val="double" w:color="auto" w:sz="4" w:space="0"/>
              <w:bottom w:val="single" w:color="000000" w:sz="4" w:space="0"/>
              <w:right w:val="single" w:color="auto" w:sz="4" w:space="0"/>
            </w:tcBorders>
            <w:vAlign w:val="center"/>
          </w:tcPr>
          <w:p w14:paraId="1210E7DB">
            <w:pPr>
              <w:widowControl/>
              <w:jc w:val="left"/>
              <w:rPr>
                <w:rFonts w:ascii="宋体" w:hAnsi="宋体" w:cs="宋体"/>
                <w:kern w:val="0"/>
                <w:sz w:val="21"/>
                <w:szCs w:val="21"/>
              </w:rPr>
            </w:pPr>
          </w:p>
        </w:tc>
        <w:tc>
          <w:tcPr>
            <w:tcW w:w="1735" w:type="dxa"/>
            <w:vMerge w:val="continue"/>
            <w:tcBorders>
              <w:top w:val="nil"/>
              <w:left w:val="single" w:color="auto" w:sz="4" w:space="0"/>
              <w:bottom w:val="single" w:color="auto" w:sz="4" w:space="0"/>
              <w:right w:val="single" w:color="auto" w:sz="4" w:space="0"/>
            </w:tcBorders>
            <w:vAlign w:val="center"/>
          </w:tcPr>
          <w:p w14:paraId="53EA215A">
            <w:pPr>
              <w:widowControl/>
              <w:jc w:val="left"/>
              <w:rPr>
                <w:rFonts w:ascii="宋体" w:hAnsi="宋体" w:cs="宋体"/>
                <w:kern w:val="0"/>
                <w:sz w:val="21"/>
                <w:szCs w:val="21"/>
              </w:rPr>
            </w:pPr>
          </w:p>
        </w:tc>
        <w:tc>
          <w:tcPr>
            <w:tcW w:w="4709" w:type="dxa"/>
            <w:tcBorders>
              <w:top w:val="nil"/>
              <w:left w:val="nil"/>
              <w:bottom w:val="single" w:color="auto" w:sz="4" w:space="0"/>
              <w:right w:val="single" w:color="auto" w:sz="4" w:space="0"/>
            </w:tcBorders>
            <w:shd w:val="clear" w:color="auto" w:fill="auto"/>
            <w:vAlign w:val="center"/>
          </w:tcPr>
          <w:p w14:paraId="2CC0FE5E">
            <w:pPr>
              <w:widowControl/>
              <w:jc w:val="left"/>
              <w:rPr>
                <w:rFonts w:ascii="宋体" w:hAnsi="宋体" w:cs="宋体"/>
                <w:kern w:val="0"/>
                <w:sz w:val="21"/>
                <w:szCs w:val="21"/>
              </w:rPr>
            </w:pPr>
            <w:r>
              <w:rPr>
                <w:rFonts w:hint="eastAsia" w:ascii="宋体" w:hAnsi="宋体" w:cs="宋体"/>
                <w:kern w:val="0"/>
                <w:sz w:val="21"/>
                <w:szCs w:val="21"/>
              </w:rPr>
              <w:t>遵循“数据多跑路，群众少跑腿”的服务理念，按照闽政通APP小程序建设规范，提供经营主体“一照多址”移动端便民查询服务。创新采用二维码作为信息载体，社会公众与监管人员使用手机扫描纸质营业执照二维码，即可实时、精准获取市场主体“一照多址”完整登记信息。支持“一照多址”改革举措有效落地，将政务公开与便民服务延伸至公众指尖，显著提升服务体验与监管效能。</w:t>
            </w:r>
          </w:p>
        </w:tc>
        <w:tc>
          <w:tcPr>
            <w:tcW w:w="1300" w:type="dxa"/>
            <w:vMerge w:val="continue"/>
            <w:tcBorders>
              <w:top w:val="nil"/>
              <w:left w:val="single" w:color="auto" w:sz="4" w:space="0"/>
              <w:bottom w:val="single" w:color="000000" w:sz="4" w:space="0"/>
              <w:right w:val="double" w:color="auto" w:sz="4" w:space="0"/>
            </w:tcBorders>
            <w:vAlign w:val="center"/>
          </w:tcPr>
          <w:p w14:paraId="02B6EB21">
            <w:pPr>
              <w:widowControl/>
              <w:jc w:val="left"/>
              <w:rPr>
                <w:rFonts w:ascii="宋体" w:hAnsi="宋体" w:cs="宋体"/>
                <w:kern w:val="0"/>
                <w:sz w:val="21"/>
                <w:szCs w:val="21"/>
              </w:rPr>
            </w:pPr>
          </w:p>
        </w:tc>
      </w:tr>
      <w:tr w14:paraId="4938144C">
        <w:tblPrEx>
          <w:tblCellMar>
            <w:top w:w="0" w:type="dxa"/>
            <w:left w:w="108" w:type="dxa"/>
            <w:bottom w:w="0" w:type="dxa"/>
            <w:right w:w="108" w:type="dxa"/>
          </w:tblCellMar>
        </w:tblPrEx>
        <w:trPr>
          <w:trHeight w:val="840" w:hRule="atLeast"/>
        </w:trPr>
        <w:tc>
          <w:tcPr>
            <w:tcW w:w="776" w:type="dxa"/>
            <w:vMerge w:val="continue"/>
            <w:tcBorders>
              <w:top w:val="nil"/>
              <w:left w:val="double" w:color="auto" w:sz="4" w:space="0"/>
              <w:bottom w:val="single" w:color="000000" w:sz="4" w:space="0"/>
              <w:right w:val="single" w:color="auto" w:sz="4" w:space="0"/>
            </w:tcBorders>
            <w:vAlign w:val="center"/>
          </w:tcPr>
          <w:p w14:paraId="0E4C1EBF">
            <w:pPr>
              <w:widowControl/>
              <w:jc w:val="left"/>
              <w:rPr>
                <w:rFonts w:ascii="宋体" w:hAnsi="宋体" w:cs="宋体"/>
                <w:kern w:val="0"/>
                <w:sz w:val="21"/>
                <w:szCs w:val="21"/>
              </w:rPr>
            </w:pPr>
          </w:p>
        </w:tc>
        <w:tc>
          <w:tcPr>
            <w:tcW w:w="1735" w:type="dxa"/>
            <w:vMerge w:val="continue"/>
            <w:tcBorders>
              <w:top w:val="nil"/>
              <w:left w:val="single" w:color="auto" w:sz="4" w:space="0"/>
              <w:bottom w:val="single" w:color="auto" w:sz="4" w:space="0"/>
              <w:right w:val="single" w:color="auto" w:sz="4" w:space="0"/>
            </w:tcBorders>
            <w:vAlign w:val="center"/>
          </w:tcPr>
          <w:p w14:paraId="70FDBB89">
            <w:pPr>
              <w:widowControl/>
              <w:jc w:val="left"/>
              <w:rPr>
                <w:rFonts w:ascii="宋体" w:hAnsi="宋体" w:cs="宋体"/>
                <w:kern w:val="0"/>
                <w:sz w:val="21"/>
                <w:szCs w:val="21"/>
              </w:rPr>
            </w:pPr>
          </w:p>
        </w:tc>
        <w:tc>
          <w:tcPr>
            <w:tcW w:w="4709" w:type="dxa"/>
            <w:tcBorders>
              <w:top w:val="nil"/>
              <w:left w:val="nil"/>
              <w:bottom w:val="single" w:color="auto" w:sz="4" w:space="0"/>
              <w:right w:val="single" w:color="auto" w:sz="4" w:space="0"/>
            </w:tcBorders>
            <w:shd w:val="clear" w:color="auto" w:fill="auto"/>
            <w:vAlign w:val="center"/>
          </w:tcPr>
          <w:p w14:paraId="13F14DDB">
            <w:pPr>
              <w:widowControl/>
              <w:jc w:val="left"/>
              <w:rPr>
                <w:rFonts w:ascii="宋体" w:hAnsi="宋体" w:cs="宋体"/>
                <w:kern w:val="0"/>
                <w:sz w:val="21"/>
                <w:szCs w:val="21"/>
              </w:rPr>
            </w:pPr>
            <w:r>
              <w:rPr>
                <w:rFonts w:hint="eastAsia" w:ascii="宋体" w:hAnsi="宋体" w:cs="宋体"/>
                <w:kern w:val="0"/>
                <w:sz w:val="21"/>
                <w:szCs w:val="21"/>
              </w:rPr>
              <w:t>提供高效精准的二维码解析服务，快速、准确识别纸质营业执照标准二维码，自动提取包含企业统一社会信用代码、名称、住所及经营场所等核心数据，为信息查询与公示提供可靠数据支撑，实现“码上查、马上知”的便捷服务体验。</w:t>
            </w:r>
          </w:p>
        </w:tc>
        <w:tc>
          <w:tcPr>
            <w:tcW w:w="1300" w:type="dxa"/>
            <w:vMerge w:val="continue"/>
            <w:tcBorders>
              <w:top w:val="nil"/>
              <w:left w:val="single" w:color="auto" w:sz="4" w:space="0"/>
              <w:bottom w:val="single" w:color="000000" w:sz="4" w:space="0"/>
              <w:right w:val="double" w:color="auto" w:sz="4" w:space="0"/>
            </w:tcBorders>
            <w:vAlign w:val="center"/>
          </w:tcPr>
          <w:p w14:paraId="4E0A64FB">
            <w:pPr>
              <w:widowControl/>
              <w:jc w:val="left"/>
              <w:rPr>
                <w:rFonts w:ascii="宋体" w:hAnsi="宋体" w:cs="宋体"/>
                <w:kern w:val="0"/>
                <w:sz w:val="21"/>
                <w:szCs w:val="21"/>
              </w:rPr>
            </w:pPr>
          </w:p>
        </w:tc>
      </w:tr>
      <w:tr w14:paraId="2041AC31">
        <w:tblPrEx>
          <w:tblCellMar>
            <w:top w:w="0" w:type="dxa"/>
            <w:left w:w="108" w:type="dxa"/>
            <w:bottom w:w="0" w:type="dxa"/>
            <w:right w:w="108" w:type="dxa"/>
          </w:tblCellMar>
        </w:tblPrEx>
        <w:trPr>
          <w:trHeight w:val="840" w:hRule="atLeast"/>
        </w:trPr>
        <w:tc>
          <w:tcPr>
            <w:tcW w:w="776" w:type="dxa"/>
            <w:vMerge w:val="continue"/>
            <w:tcBorders>
              <w:top w:val="nil"/>
              <w:left w:val="double" w:color="auto" w:sz="4" w:space="0"/>
              <w:bottom w:val="single" w:color="000000" w:sz="4" w:space="0"/>
              <w:right w:val="single" w:color="auto" w:sz="4" w:space="0"/>
            </w:tcBorders>
            <w:vAlign w:val="center"/>
          </w:tcPr>
          <w:p w14:paraId="34840013">
            <w:pPr>
              <w:widowControl/>
              <w:jc w:val="left"/>
              <w:rPr>
                <w:rFonts w:ascii="宋体" w:hAnsi="宋体" w:cs="宋体"/>
                <w:kern w:val="0"/>
                <w:sz w:val="21"/>
                <w:szCs w:val="21"/>
              </w:rPr>
            </w:pPr>
          </w:p>
        </w:tc>
        <w:tc>
          <w:tcPr>
            <w:tcW w:w="1735" w:type="dxa"/>
            <w:vMerge w:val="continue"/>
            <w:tcBorders>
              <w:top w:val="nil"/>
              <w:left w:val="single" w:color="auto" w:sz="4" w:space="0"/>
              <w:bottom w:val="single" w:color="auto" w:sz="4" w:space="0"/>
              <w:right w:val="single" w:color="auto" w:sz="4" w:space="0"/>
            </w:tcBorders>
            <w:vAlign w:val="center"/>
          </w:tcPr>
          <w:p w14:paraId="352AAC41">
            <w:pPr>
              <w:widowControl/>
              <w:jc w:val="left"/>
              <w:rPr>
                <w:rFonts w:ascii="宋体" w:hAnsi="宋体" w:cs="宋体"/>
                <w:kern w:val="0"/>
                <w:sz w:val="21"/>
                <w:szCs w:val="21"/>
              </w:rPr>
            </w:pPr>
          </w:p>
        </w:tc>
        <w:tc>
          <w:tcPr>
            <w:tcW w:w="4709" w:type="dxa"/>
            <w:tcBorders>
              <w:top w:val="nil"/>
              <w:left w:val="nil"/>
              <w:bottom w:val="single" w:color="auto" w:sz="4" w:space="0"/>
              <w:right w:val="single" w:color="auto" w:sz="4" w:space="0"/>
            </w:tcBorders>
            <w:shd w:val="clear" w:color="auto" w:fill="auto"/>
            <w:vAlign w:val="center"/>
          </w:tcPr>
          <w:p w14:paraId="21882B1F">
            <w:pPr>
              <w:widowControl/>
              <w:jc w:val="left"/>
              <w:rPr>
                <w:rFonts w:ascii="宋体" w:hAnsi="宋体" w:cs="宋体"/>
                <w:kern w:val="0"/>
                <w:sz w:val="21"/>
                <w:szCs w:val="21"/>
              </w:rPr>
            </w:pPr>
            <w:r>
              <w:rPr>
                <w:rFonts w:hint="eastAsia" w:ascii="宋体" w:hAnsi="宋体" w:cs="宋体"/>
                <w:kern w:val="0"/>
                <w:sz w:val="21"/>
                <w:szCs w:val="21"/>
              </w:rPr>
              <w:t>面向内资公司、外资公司、非公司企业法人、内资合伙企业、外资合伙企业、个人独资企业、农民专业合作社、个体工商户等8类主体，分别提供“一照多址”登记信息查询服务，支持移动端小程序高效获取各类经营主体“一照多址”公示信息，增强信息透明度与公众监督参与度。</w:t>
            </w:r>
          </w:p>
        </w:tc>
        <w:tc>
          <w:tcPr>
            <w:tcW w:w="1300" w:type="dxa"/>
            <w:vMerge w:val="continue"/>
            <w:tcBorders>
              <w:top w:val="nil"/>
              <w:left w:val="single" w:color="auto" w:sz="4" w:space="0"/>
              <w:bottom w:val="single" w:color="000000" w:sz="4" w:space="0"/>
              <w:right w:val="double" w:color="auto" w:sz="4" w:space="0"/>
            </w:tcBorders>
            <w:vAlign w:val="center"/>
          </w:tcPr>
          <w:p w14:paraId="22159874">
            <w:pPr>
              <w:widowControl/>
              <w:jc w:val="left"/>
              <w:rPr>
                <w:rFonts w:ascii="宋体" w:hAnsi="宋体" w:cs="宋体"/>
                <w:kern w:val="0"/>
                <w:sz w:val="21"/>
                <w:szCs w:val="21"/>
              </w:rPr>
            </w:pPr>
          </w:p>
        </w:tc>
      </w:tr>
      <w:tr w14:paraId="42518519">
        <w:tblPrEx>
          <w:tblCellMar>
            <w:top w:w="0" w:type="dxa"/>
            <w:left w:w="108" w:type="dxa"/>
            <w:bottom w:w="0" w:type="dxa"/>
            <w:right w:w="108" w:type="dxa"/>
          </w:tblCellMar>
        </w:tblPrEx>
        <w:trPr>
          <w:trHeight w:val="540" w:hRule="atLeast"/>
        </w:trPr>
        <w:tc>
          <w:tcPr>
            <w:tcW w:w="776" w:type="dxa"/>
            <w:tcBorders>
              <w:top w:val="nil"/>
              <w:left w:val="double" w:color="auto" w:sz="4" w:space="0"/>
              <w:bottom w:val="double" w:color="auto" w:sz="4" w:space="0"/>
              <w:right w:val="single" w:color="auto" w:sz="4" w:space="0"/>
            </w:tcBorders>
            <w:shd w:val="clear" w:color="auto" w:fill="auto"/>
            <w:noWrap/>
            <w:vAlign w:val="center"/>
          </w:tcPr>
          <w:p w14:paraId="413A6C84">
            <w:pPr>
              <w:widowControl/>
              <w:jc w:val="center"/>
              <w:rPr>
                <w:rFonts w:ascii="宋体" w:hAnsi="宋体" w:cs="宋体"/>
                <w:kern w:val="0"/>
                <w:sz w:val="21"/>
                <w:szCs w:val="21"/>
              </w:rPr>
            </w:pPr>
            <w:r>
              <w:rPr>
                <w:rFonts w:hint="eastAsia" w:ascii="宋体" w:hAnsi="宋体" w:cs="宋体"/>
                <w:kern w:val="0"/>
                <w:sz w:val="21"/>
                <w:szCs w:val="21"/>
              </w:rPr>
              <w:t>2</w:t>
            </w:r>
          </w:p>
        </w:tc>
        <w:tc>
          <w:tcPr>
            <w:tcW w:w="1735" w:type="dxa"/>
            <w:tcBorders>
              <w:top w:val="nil"/>
              <w:left w:val="nil"/>
              <w:bottom w:val="double" w:color="auto" w:sz="4" w:space="0"/>
              <w:right w:val="single" w:color="auto" w:sz="4" w:space="0"/>
            </w:tcBorders>
            <w:shd w:val="clear" w:color="auto" w:fill="auto"/>
            <w:vAlign w:val="center"/>
          </w:tcPr>
          <w:p w14:paraId="0B9E2978">
            <w:pPr>
              <w:widowControl/>
              <w:jc w:val="left"/>
              <w:rPr>
                <w:rFonts w:ascii="宋体" w:hAnsi="宋体" w:cs="宋体"/>
                <w:kern w:val="0"/>
                <w:sz w:val="21"/>
                <w:szCs w:val="21"/>
              </w:rPr>
            </w:pPr>
            <w:r>
              <w:rPr>
                <w:rFonts w:hint="eastAsia" w:ascii="宋体" w:hAnsi="宋体" w:cs="宋体"/>
                <w:kern w:val="0"/>
                <w:sz w:val="21"/>
                <w:szCs w:val="21"/>
              </w:rPr>
              <w:t>数据汇聚与共享服务</w:t>
            </w:r>
          </w:p>
        </w:tc>
        <w:tc>
          <w:tcPr>
            <w:tcW w:w="4709" w:type="dxa"/>
            <w:tcBorders>
              <w:top w:val="nil"/>
              <w:left w:val="nil"/>
              <w:bottom w:val="double" w:color="auto" w:sz="4" w:space="0"/>
              <w:right w:val="single" w:color="auto" w:sz="4" w:space="0"/>
            </w:tcBorders>
            <w:shd w:val="clear" w:color="auto" w:fill="auto"/>
            <w:vAlign w:val="center"/>
          </w:tcPr>
          <w:p w14:paraId="5C82B82C">
            <w:pPr>
              <w:widowControl/>
              <w:jc w:val="left"/>
              <w:rPr>
                <w:rFonts w:ascii="宋体" w:hAnsi="宋体" w:cs="宋体"/>
                <w:color w:val="000000"/>
                <w:kern w:val="0"/>
                <w:sz w:val="21"/>
                <w:szCs w:val="21"/>
              </w:rPr>
            </w:pPr>
            <w:r>
              <w:rPr>
                <w:rFonts w:hint="eastAsia" w:ascii="宋体" w:hAnsi="宋体" w:cs="宋体"/>
                <w:color w:val="000000"/>
                <w:kern w:val="0"/>
                <w:sz w:val="21"/>
                <w:szCs w:val="21"/>
              </w:rPr>
              <w:t>全面整合经营主体登记信息与“一照多址”登记数据，建立统一高效的数据支撑体系，确保社会公众与监管部门通过移动端扫码即可便捷查询相关登记信息，提升数据服务水平和政务协同效能。</w:t>
            </w:r>
          </w:p>
        </w:tc>
        <w:tc>
          <w:tcPr>
            <w:tcW w:w="1300" w:type="dxa"/>
            <w:tcBorders>
              <w:top w:val="nil"/>
              <w:left w:val="nil"/>
              <w:bottom w:val="double" w:color="auto" w:sz="4" w:space="0"/>
              <w:right w:val="double" w:color="auto" w:sz="4" w:space="0"/>
            </w:tcBorders>
            <w:shd w:val="clear" w:color="auto" w:fill="auto"/>
            <w:noWrap/>
            <w:vAlign w:val="center"/>
          </w:tcPr>
          <w:p w14:paraId="0219FF89">
            <w:pPr>
              <w:widowControl/>
              <w:jc w:val="center"/>
              <w:rPr>
                <w:rFonts w:ascii="宋体" w:hAnsi="宋体" w:cs="宋体"/>
                <w:kern w:val="0"/>
                <w:sz w:val="21"/>
                <w:szCs w:val="21"/>
              </w:rPr>
            </w:pPr>
          </w:p>
        </w:tc>
      </w:tr>
    </w:tbl>
    <w:p w14:paraId="7C4A04C9">
      <w:pPr>
        <w:pStyle w:val="3"/>
        <w:numPr>
          <w:ilvl w:val="1"/>
          <w:numId w:val="2"/>
        </w:numPr>
        <w:ind w:left="0" w:firstLine="0"/>
        <w:rPr>
          <w:rStyle w:val="12"/>
          <w:b w:val="0"/>
          <w:bCs w:val="0"/>
        </w:rPr>
      </w:pPr>
      <w:r>
        <w:rPr>
          <w:rStyle w:val="12"/>
          <w:rFonts w:hint="eastAsia"/>
          <w:b w:val="0"/>
          <w:bCs w:val="0"/>
        </w:rPr>
        <w:t>个人独资企业转型为公司、合伙企业的服务支持预算表</w:t>
      </w:r>
    </w:p>
    <w:tbl>
      <w:tblPr>
        <w:tblStyle w:val="8"/>
        <w:tblW w:w="8212" w:type="dxa"/>
        <w:tblInd w:w="-5" w:type="dxa"/>
        <w:tblLayout w:type="autofit"/>
        <w:tblCellMar>
          <w:top w:w="0" w:type="dxa"/>
          <w:left w:w="108" w:type="dxa"/>
          <w:bottom w:w="0" w:type="dxa"/>
          <w:right w:w="108" w:type="dxa"/>
        </w:tblCellMar>
      </w:tblPr>
      <w:tblGrid>
        <w:gridCol w:w="841"/>
        <w:gridCol w:w="1984"/>
        <w:gridCol w:w="3969"/>
        <w:gridCol w:w="1418"/>
      </w:tblGrid>
      <w:tr w14:paraId="5FFA796A">
        <w:tblPrEx>
          <w:tblCellMar>
            <w:top w:w="0" w:type="dxa"/>
            <w:left w:w="108" w:type="dxa"/>
            <w:bottom w:w="0" w:type="dxa"/>
            <w:right w:w="108" w:type="dxa"/>
          </w:tblCellMar>
        </w:tblPrEx>
        <w:trPr>
          <w:trHeight w:val="730" w:hRule="atLeast"/>
          <w:tblHeader/>
        </w:trPr>
        <w:tc>
          <w:tcPr>
            <w:tcW w:w="841" w:type="dxa"/>
            <w:tcBorders>
              <w:top w:val="double" w:color="auto" w:sz="4" w:space="0"/>
              <w:left w:val="double" w:color="auto" w:sz="4" w:space="0"/>
              <w:bottom w:val="single" w:color="auto" w:sz="4" w:space="0"/>
              <w:right w:val="single" w:color="auto" w:sz="4" w:space="0"/>
            </w:tcBorders>
            <w:shd w:val="clear" w:color="000000" w:fill="D9D9D9"/>
            <w:noWrap/>
            <w:vAlign w:val="center"/>
          </w:tcPr>
          <w:p w14:paraId="756FF852">
            <w:pPr>
              <w:widowControl/>
              <w:jc w:val="center"/>
              <w:rPr>
                <w:rFonts w:ascii="宋体" w:hAnsi="宋体" w:cs="宋体"/>
                <w:b/>
                <w:bCs/>
                <w:kern w:val="0"/>
                <w:sz w:val="21"/>
                <w:szCs w:val="21"/>
              </w:rPr>
            </w:pPr>
            <w:r>
              <w:rPr>
                <w:rFonts w:hint="eastAsia" w:ascii="宋体" w:hAnsi="宋体" w:cs="宋体"/>
                <w:b/>
                <w:bCs/>
                <w:kern w:val="0"/>
                <w:sz w:val="21"/>
                <w:szCs w:val="21"/>
              </w:rPr>
              <w:t>编号</w:t>
            </w:r>
          </w:p>
        </w:tc>
        <w:tc>
          <w:tcPr>
            <w:tcW w:w="1984" w:type="dxa"/>
            <w:tcBorders>
              <w:top w:val="double" w:color="auto" w:sz="4" w:space="0"/>
              <w:left w:val="nil"/>
              <w:bottom w:val="single" w:color="auto" w:sz="4" w:space="0"/>
              <w:right w:val="single" w:color="auto" w:sz="4" w:space="0"/>
            </w:tcBorders>
            <w:shd w:val="clear" w:color="000000" w:fill="D9D9D9"/>
            <w:vAlign w:val="center"/>
          </w:tcPr>
          <w:p w14:paraId="391DF760">
            <w:pPr>
              <w:widowControl/>
              <w:jc w:val="center"/>
              <w:rPr>
                <w:rFonts w:ascii="宋体" w:hAnsi="宋体" w:cs="宋体"/>
                <w:b/>
                <w:bCs/>
                <w:kern w:val="0"/>
                <w:sz w:val="21"/>
                <w:szCs w:val="21"/>
              </w:rPr>
            </w:pPr>
            <w:r>
              <w:rPr>
                <w:rFonts w:hint="eastAsia" w:ascii="宋体" w:hAnsi="宋体" w:cs="宋体"/>
                <w:b/>
                <w:bCs/>
                <w:kern w:val="0"/>
                <w:sz w:val="21"/>
                <w:szCs w:val="21"/>
              </w:rPr>
              <w:t>项目名称</w:t>
            </w:r>
          </w:p>
        </w:tc>
        <w:tc>
          <w:tcPr>
            <w:tcW w:w="3969" w:type="dxa"/>
            <w:tcBorders>
              <w:top w:val="double" w:color="auto" w:sz="4" w:space="0"/>
              <w:left w:val="nil"/>
              <w:bottom w:val="single" w:color="auto" w:sz="4" w:space="0"/>
              <w:right w:val="single" w:color="auto" w:sz="4" w:space="0"/>
            </w:tcBorders>
            <w:shd w:val="clear" w:color="000000" w:fill="D9D9D9"/>
            <w:vAlign w:val="center"/>
          </w:tcPr>
          <w:p w14:paraId="36B7AB50">
            <w:pPr>
              <w:widowControl/>
              <w:jc w:val="center"/>
              <w:rPr>
                <w:rFonts w:ascii="宋体" w:hAnsi="宋体" w:cs="宋体"/>
                <w:b/>
                <w:bCs/>
                <w:kern w:val="0"/>
                <w:sz w:val="21"/>
                <w:szCs w:val="21"/>
              </w:rPr>
            </w:pPr>
            <w:r>
              <w:rPr>
                <w:rFonts w:hint="eastAsia" w:ascii="宋体" w:hAnsi="宋体" w:cs="宋体"/>
                <w:b/>
                <w:bCs/>
                <w:kern w:val="0"/>
                <w:sz w:val="21"/>
                <w:szCs w:val="21"/>
              </w:rPr>
              <w:t>服务需求及说明</w:t>
            </w:r>
          </w:p>
        </w:tc>
        <w:tc>
          <w:tcPr>
            <w:tcW w:w="1418" w:type="dxa"/>
            <w:tcBorders>
              <w:top w:val="double" w:color="auto" w:sz="4" w:space="0"/>
              <w:left w:val="nil"/>
              <w:bottom w:val="single" w:color="auto" w:sz="4" w:space="0"/>
              <w:right w:val="double" w:color="auto" w:sz="4" w:space="0"/>
            </w:tcBorders>
            <w:shd w:val="clear" w:color="000000" w:fill="D9D9D9"/>
            <w:vAlign w:val="center"/>
          </w:tcPr>
          <w:p w14:paraId="40D4D881">
            <w:pPr>
              <w:widowControl/>
              <w:jc w:val="center"/>
              <w:rPr>
                <w:rFonts w:ascii="宋体" w:hAnsi="宋体" w:cs="宋体"/>
                <w:b/>
                <w:bCs/>
                <w:kern w:val="0"/>
                <w:sz w:val="21"/>
                <w:szCs w:val="21"/>
              </w:rPr>
            </w:pPr>
            <w:r>
              <w:rPr>
                <w:rFonts w:hint="eastAsia" w:ascii="宋体" w:hAnsi="宋体" w:cs="宋体"/>
                <w:b/>
                <w:bCs/>
                <w:kern w:val="0"/>
                <w:sz w:val="21"/>
                <w:szCs w:val="21"/>
              </w:rPr>
              <w:t>金额</w:t>
            </w:r>
            <w:r>
              <w:rPr>
                <w:rFonts w:hint="eastAsia" w:ascii="宋体" w:hAnsi="宋体" w:cs="宋体"/>
                <w:b/>
                <w:bCs/>
                <w:kern w:val="0"/>
                <w:sz w:val="21"/>
                <w:szCs w:val="21"/>
              </w:rPr>
              <w:br w:type="textWrapping"/>
            </w:r>
            <w:r>
              <w:rPr>
                <w:rFonts w:hint="eastAsia" w:ascii="宋体" w:hAnsi="宋体" w:cs="宋体"/>
                <w:b/>
                <w:bCs/>
                <w:kern w:val="0"/>
                <w:sz w:val="21"/>
                <w:szCs w:val="21"/>
              </w:rPr>
              <w:t>（万元）</w:t>
            </w:r>
          </w:p>
        </w:tc>
      </w:tr>
      <w:tr w14:paraId="67051E1C">
        <w:tblPrEx>
          <w:tblCellMar>
            <w:top w:w="0" w:type="dxa"/>
            <w:left w:w="108" w:type="dxa"/>
            <w:bottom w:w="0" w:type="dxa"/>
            <w:right w:w="108" w:type="dxa"/>
          </w:tblCellMar>
        </w:tblPrEx>
        <w:trPr>
          <w:trHeight w:val="112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46F173F4">
            <w:pPr>
              <w:widowControl/>
              <w:jc w:val="center"/>
              <w:rPr>
                <w:rFonts w:ascii="宋体" w:hAnsi="宋体" w:cs="宋体"/>
                <w:kern w:val="0"/>
                <w:sz w:val="21"/>
                <w:szCs w:val="21"/>
              </w:rPr>
            </w:pPr>
            <w:r>
              <w:rPr>
                <w:rFonts w:hint="eastAsia" w:ascii="宋体" w:hAnsi="宋体" w:cs="宋体"/>
                <w:kern w:val="0"/>
                <w:sz w:val="21"/>
                <w:szCs w:val="21"/>
              </w:rPr>
              <w:t>1</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44264CB5">
            <w:pPr>
              <w:widowControl/>
              <w:jc w:val="left"/>
              <w:rPr>
                <w:rFonts w:ascii="宋体" w:hAnsi="宋体" w:cs="宋体"/>
                <w:kern w:val="0"/>
                <w:sz w:val="21"/>
                <w:szCs w:val="21"/>
              </w:rPr>
            </w:pPr>
            <w:r>
              <w:rPr>
                <w:rFonts w:hint="eastAsia" w:ascii="宋体" w:hAnsi="宋体" w:cs="宋体"/>
                <w:kern w:val="0"/>
                <w:sz w:val="21"/>
                <w:szCs w:val="21"/>
              </w:rPr>
              <w:t>向内资有限责任公司转型服务</w:t>
            </w:r>
          </w:p>
        </w:tc>
        <w:tc>
          <w:tcPr>
            <w:tcW w:w="3969" w:type="dxa"/>
            <w:tcBorders>
              <w:top w:val="nil"/>
              <w:left w:val="nil"/>
              <w:bottom w:val="single" w:color="auto" w:sz="4" w:space="0"/>
              <w:right w:val="single" w:color="auto" w:sz="4" w:space="0"/>
            </w:tcBorders>
            <w:shd w:val="clear" w:color="auto" w:fill="auto"/>
            <w:vAlign w:val="center"/>
          </w:tcPr>
          <w:p w14:paraId="1C146A8B">
            <w:pPr>
              <w:widowControl/>
              <w:jc w:val="left"/>
              <w:rPr>
                <w:rFonts w:ascii="宋体" w:hAnsi="宋体" w:cs="宋体"/>
                <w:kern w:val="0"/>
                <w:sz w:val="21"/>
                <w:szCs w:val="21"/>
              </w:rPr>
            </w:pPr>
            <w:r>
              <w:rPr>
                <w:rFonts w:hint="eastAsia" w:ascii="宋体" w:hAnsi="宋体" w:cs="宋体"/>
                <w:kern w:val="0"/>
                <w:sz w:val="21"/>
                <w:szCs w:val="21"/>
              </w:rPr>
              <w:t>提供互联网端业务申请服务，涵盖申请信息、企业基本信息、住所、经营范围、前后置许可、股东、董监事高管、涉税及“多证合一”等信息填报，并通过数据映射实现从个人独资企业信息自动回填至有限责任公司登记表单。支持申请材料生成与提交，基于预设规则自动生成材料清单及相关文书，实现全流程线上办理，提升转型办理效率。</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526C14E8">
            <w:pPr>
              <w:widowControl/>
              <w:jc w:val="center"/>
              <w:rPr>
                <w:rFonts w:ascii="宋体" w:hAnsi="宋体" w:cs="宋体"/>
                <w:kern w:val="0"/>
                <w:sz w:val="21"/>
                <w:szCs w:val="21"/>
              </w:rPr>
            </w:pPr>
          </w:p>
        </w:tc>
      </w:tr>
      <w:tr w14:paraId="675F8EEB">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7DE78564">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2A8D25EC">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298CA51B">
            <w:pPr>
              <w:widowControl/>
              <w:jc w:val="left"/>
              <w:rPr>
                <w:rFonts w:ascii="宋体" w:hAnsi="宋体" w:cs="宋体"/>
                <w:kern w:val="0"/>
                <w:sz w:val="21"/>
                <w:szCs w:val="21"/>
              </w:rPr>
            </w:pPr>
            <w:r>
              <w:rPr>
                <w:rFonts w:hint="eastAsia" w:ascii="宋体" w:hAnsi="宋体" w:cs="宋体"/>
                <w:kern w:val="0"/>
                <w:sz w:val="21"/>
                <w:szCs w:val="21"/>
              </w:rPr>
              <w:t>提供内网端业务处理服务，支持登记人员受理与审核。自动获取并回填个人独资企业数据，生成标准化申请材料清单，保障内部办理流程顺畅高效。</w:t>
            </w:r>
          </w:p>
        </w:tc>
        <w:tc>
          <w:tcPr>
            <w:tcW w:w="1418" w:type="dxa"/>
            <w:vMerge w:val="continue"/>
            <w:tcBorders>
              <w:top w:val="nil"/>
              <w:left w:val="single" w:color="auto" w:sz="4" w:space="0"/>
              <w:bottom w:val="single" w:color="000000" w:sz="4" w:space="0"/>
              <w:right w:val="double" w:color="auto" w:sz="4" w:space="0"/>
            </w:tcBorders>
            <w:vAlign w:val="center"/>
          </w:tcPr>
          <w:p w14:paraId="3797E171">
            <w:pPr>
              <w:widowControl/>
              <w:jc w:val="left"/>
              <w:rPr>
                <w:rFonts w:ascii="宋体" w:hAnsi="宋体" w:cs="宋体"/>
                <w:kern w:val="0"/>
                <w:sz w:val="21"/>
                <w:szCs w:val="21"/>
              </w:rPr>
            </w:pPr>
          </w:p>
        </w:tc>
      </w:tr>
      <w:tr w14:paraId="34104F0C">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0ED6CB29">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E291105">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03CFAE3">
            <w:pPr>
              <w:widowControl/>
              <w:jc w:val="left"/>
              <w:rPr>
                <w:rFonts w:ascii="宋体" w:hAnsi="宋体" w:cs="宋体"/>
                <w:kern w:val="0"/>
                <w:sz w:val="21"/>
                <w:szCs w:val="21"/>
              </w:rPr>
            </w:pPr>
            <w:r>
              <w:rPr>
                <w:rFonts w:hint="eastAsia" w:ascii="宋体" w:hAnsi="宋体" w:cs="宋体"/>
                <w:kern w:val="0"/>
                <w:sz w:val="21"/>
                <w:szCs w:val="21"/>
              </w:rPr>
              <w:t>提供转型审批及营业执照打印服务，依据《公司法》《市场主体登记管理条例》等法规，完成登记信息校验、执行人校验、名单校验，并实现对信用公示系统及市场监管总局实名认证、名单信息的核查，确保转型登记依法合规、流程顺畅。</w:t>
            </w:r>
          </w:p>
        </w:tc>
        <w:tc>
          <w:tcPr>
            <w:tcW w:w="1418" w:type="dxa"/>
            <w:vMerge w:val="continue"/>
            <w:tcBorders>
              <w:top w:val="nil"/>
              <w:left w:val="single" w:color="auto" w:sz="4" w:space="0"/>
              <w:bottom w:val="single" w:color="000000" w:sz="4" w:space="0"/>
              <w:right w:val="double" w:color="auto" w:sz="4" w:space="0"/>
            </w:tcBorders>
            <w:vAlign w:val="center"/>
          </w:tcPr>
          <w:p w14:paraId="53415DD6">
            <w:pPr>
              <w:widowControl/>
              <w:jc w:val="left"/>
              <w:rPr>
                <w:rFonts w:ascii="宋体" w:hAnsi="宋体" w:cs="宋体"/>
                <w:kern w:val="0"/>
                <w:sz w:val="21"/>
                <w:szCs w:val="21"/>
              </w:rPr>
            </w:pPr>
          </w:p>
        </w:tc>
      </w:tr>
      <w:tr w14:paraId="2D290A70">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3ACB8284">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67BF3A26">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872DC36">
            <w:pPr>
              <w:widowControl/>
              <w:jc w:val="left"/>
              <w:rPr>
                <w:rFonts w:ascii="宋体" w:hAnsi="宋体" w:cs="宋体"/>
                <w:kern w:val="0"/>
                <w:sz w:val="21"/>
                <w:szCs w:val="21"/>
              </w:rPr>
            </w:pPr>
            <w:r>
              <w:rPr>
                <w:rFonts w:hint="eastAsia" w:ascii="宋体" w:hAnsi="宋体" w:cs="宋体"/>
                <w:kern w:val="0"/>
                <w:sz w:val="21"/>
                <w:szCs w:val="21"/>
              </w:rPr>
              <w:t>提供数据映射配置服务，实现个人独资企业与有限责任公司之间关键数据的自动识别、迁移与回填，包括基本信息、股东、董监高等内容，减少重复录入，保障数据准确一致。</w:t>
            </w:r>
          </w:p>
        </w:tc>
        <w:tc>
          <w:tcPr>
            <w:tcW w:w="1418" w:type="dxa"/>
            <w:vMerge w:val="continue"/>
            <w:tcBorders>
              <w:top w:val="nil"/>
              <w:left w:val="single" w:color="auto" w:sz="4" w:space="0"/>
              <w:bottom w:val="single" w:color="000000" w:sz="4" w:space="0"/>
              <w:right w:val="double" w:color="auto" w:sz="4" w:space="0"/>
            </w:tcBorders>
            <w:vAlign w:val="center"/>
          </w:tcPr>
          <w:p w14:paraId="3FAEBF0C">
            <w:pPr>
              <w:widowControl/>
              <w:jc w:val="left"/>
              <w:rPr>
                <w:rFonts w:ascii="宋体" w:hAnsi="宋体" w:cs="宋体"/>
                <w:kern w:val="0"/>
                <w:sz w:val="21"/>
                <w:szCs w:val="21"/>
              </w:rPr>
            </w:pPr>
          </w:p>
        </w:tc>
      </w:tr>
      <w:tr w14:paraId="7AF45667">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76910297">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2EF8814D">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2C18ADEC">
            <w:pPr>
              <w:widowControl/>
              <w:jc w:val="left"/>
              <w:rPr>
                <w:rFonts w:ascii="宋体" w:hAnsi="宋体" w:cs="宋体"/>
                <w:kern w:val="0"/>
                <w:sz w:val="21"/>
                <w:szCs w:val="21"/>
              </w:rPr>
            </w:pPr>
            <w:r>
              <w:rPr>
                <w:rFonts w:hint="eastAsia" w:ascii="宋体" w:hAnsi="宋体" w:cs="宋体"/>
                <w:kern w:val="0"/>
                <w:sz w:val="21"/>
                <w:szCs w:val="21"/>
              </w:rPr>
              <w:t>提供标准化申请文书服务，根据转型需求配置材料清单，通过智能模板与数据接口实现申请文件的自动生成与回填，简化材料准备流程，提升办理效率。</w:t>
            </w:r>
          </w:p>
        </w:tc>
        <w:tc>
          <w:tcPr>
            <w:tcW w:w="1418" w:type="dxa"/>
            <w:vMerge w:val="continue"/>
            <w:tcBorders>
              <w:top w:val="nil"/>
              <w:left w:val="single" w:color="auto" w:sz="4" w:space="0"/>
              <w:bottom w:val="single" w:color="000000" w:sz="4" w:space="0"/>
              <w:right w:val="double" w:color="auto" w:sz="4" w:space="0"/>
            </w:tcBorders>
            <w:vAlign w:val="center"/>
          </w:tcPr>
          <w:p w14:paraId="1CAF2AFA">
            <w:pPr>
              <w:widowControl/>
              <w:jc w:val="left"/>
              <w:rPr>
                <w:rFonts w:ascii="宋体" w:hAnsi="宋体" w:cs="宋体"/>
                <w:kern w:val="0"/>
                <w:sz w:val="21"/>
                <w:szCs w:val="21"/>
              </w:rPr>
            </w:pPr>
          </w:p>
        </w:tc>
      </w:tr>
      <w:tr w14:paraId="4A9F8504">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2BADA2A5">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7A0DE484">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4CCE832">
            <w:pPr>
              <w:widowControl/>
              <w:jc w:val="left"/>
              <w:rPr>
                <w:rFonts w:ascii="宋体" w:hAnsi="宋体" w:cs="宋体"/>
                <w:kern w:val="0"/>
                <w:sz w:val="21"/>
                <w:szCs w:val="21"/>
              </w:rPr>
            </w:pPr>
            <w:r>
              <w:rPr>
                <w:rFonts w:hint="eastAsia" w:ascii="宋体" w:hAnsi="宋体" w:cs="宋体"/>
                <w:kern w:val="0"/>
                <w:sz w:val="21"/>
                <w:szCs w:val="21"/>
              </w:rPr>
              <w:t>提供标准化审批文书服务，配置审批文书清单，利用智能模板与数据接口实现文书自动生成与数据回填，确保审批流程规范高效。</w:t>
            </w:r>
          </w:p>
        </w:tc>
        <w:tc>
          <w:tcPr>
            <w:tcW w:w="1418" w:type="dxa"/>
            <w:vMerge w:val="continue"/>
            <w:tcBorders>
              <w:top w:val="nil"/>
              <w:left w:val="single" w:color="auto" w:sz="4" w:space="0"/>
              <w:bottom w:val="single" w:color="000000" w:sz="4" w:space="0"/>
              <w:right w:val="double" w:color="auto" w:sz="4" w:space="0"/>
            </w:tcBorders>
            <w:vAlign w:val="center"/>
          </w:tcPr>
          <w:p w14:paraId="63ACCB7A">
            <w:pPr>
              <w:widowControl/>
              <w:jc w:val="left"/>
              <w:rPr>
                <w:rFonts w:ascii="宋体" w:hAnsi="宋体" w:cs="宋体"/>
                <w:kern w:val="0"/>
                <w:sz w:val="21"/>
                <w:szCs w:val="21"/>
              </w:rPr>
            </w:pPr>
          </w:p>
        </w:tc>
      </w:tr>
      <w:tr w14:paraId="5E72CDB8">
        <w:tblPrEx>
          <w:tblCellMar>
            <w:top w:w="0" w:type="dxa"/>
            <w:left w:w="108" w:type="dxa"/>
            <w:bottom w:w="0" w:type="dxa"/>
            <w:right w:w="108" w:type="dxa"/>
          </w:tblCellMar>
        </w:tblPrEx>
        <w:trPr>
          <w:trHeight w:val="168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6DC8A423">
            <w:pPr>
              <w:widowControl/>
              <w:jc w:val="center"/>
              <w:rPr>
                <w:rFonts w:ascii="宋体" w:hAnsi="宋体" w:cs="宋体"/>
                <w:kern w:val="0"/>
                <w:sz w:val="21"/>
                <w:szCs w:val="21"/>
              </w:rPr>
            </w:pPr>
            <w:r>
              <w:rPr>
                <w:rFonts w:hint="eastAsia" w:ascii="宋体" w:hAnsi="宋体" w:cs="宋体"/>
                <w:kern w:val="0"/>
                <w:sz w:val="21"/>
                <w:szCs w:val="21"/>
              </w:rPr>
              <w:t>2</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7EDBD9AD">
            <w:pPr>
              <w:widowControl/>
              <w:jc w:val="left"/>
              <w:rPr>
                <w:rFonts w:ascii="宋体" w:hAnsi="宋体" w:cs="宋体"/>
                <w:kern w:val="0"/>
                <w:sz w:val="21"/>
                <w:szCs w:val="21"/>
              </w:rPr>
            </w:pPr>
            <w:r>
              <w:rPr>
                <w:rFonts w:hint="eastAsia" w:ascii="宋体" w:hAnsi="宋体" w:cs="宋体"/>
                <w:kern w:val="0"/>
                <w:sz w:val="21"/>
                <w:szCs w:val="21"/>
              </w:rPr>
              <w:t>向内资股份有限公司转型服务</w:t>
            </w:r>
          </w:p>
        </w:tc>
        <w:tc>
          <w:tcPr>
            <w:tcW w:w="3969" w:type="dxa"/>
            <w:tcBorders>
              <w:top w:val="nil"/>
              <w:left w:val="nil"/>
              <w:bottom w:val="single" w:color="auto" w:sz="4" w:space="0"/>
              <w:right w:val="single" w:color="auto" w:sz="4" w:space="0"/>
            </w:tcBorders>
            <w:shd w:val="clear" w:color="auto" w:fill="auto"/>
            <w:vAlign w:val="center"/>
          </w:tcPr>
          <w:p w14:paraId="3F8ABDAC">
            <w:pPr>
              <w:widowControl/>
              <w:jc w:val="left"/>
              <w:rPr>
                <w:rFonts w:ascii="宋体" w:hAnsi="宋体" w:cs="宋体"/>
                <w:kern w:val="0"/>
                <w:sz w:val="21"/>
                <w:szCs w:val="21"/>
              </w:rPr>
            </w:pPr>
            <w:r>
              <w:rPr>
                <w:rFonts w:hint="eastAsia" w:ascii="宋体" w:hAnsi="宋体" w:cs="宋体"/>
                <w:kern w:val="0"/>
                <w:sz w:val="21"/>
                <w:szCs w:val="21"/>
              </w:rPr>
              <w:t>为支持个人独资企业转型为内资股份有限公司，现提供互联网电脑端业务办理服务，包括业务流程在线设定、申请表单在线填写与数据自动回填等功能。申请表单涵盖企业基本信息、住所信息、经营范围、前后置许可、发起人信息、董监事高管信息、涉税信息及“多证合一”信息等内容。基于已有数据映射关系，系统将自动从个人独资企业信息中提取并回填至股份有限公司登记表中。同时提供材料自动生成与提交支持，依托标准化文书配置，实现材料清单智能生成与登记文书的自动出具，全面实现个人独资企业转型为内资股份有限公司的互联网端“一网通办”，提升企业转型办理效率。</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3B2811A2">
            <w:pPr>
              <w:widowControl/>
              <w:jc w:val="center"/>
              <w:rPr>
                <w:rFonts w:ascii="宋体" w:hAnsi="宋体" w:cs="宋体"/>
                <w:kern w:val="0"/>
                <w:sz w:val="21"/>
                <w:szCs w:val="21"/>
              </w:rPr>
            </w:pPr>
          </w:p>
        </w:tc>
      </w:tr>
      <w:tr w14:paraId="353D9BC3">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50ADC6DD">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1D89BB06">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563063E">
            <w:pPr>
              <w:widowControl/>
              <w:jc w:val="left"/>
              <w:rPr>
                <w:rFonts w:ascii="宋体" w:hAnsi="宋体" w:cs="宋体"/>
                <w:kern w:val="0"/>
                <w:sz w:val="21"/>
                <w:szCs w:val="21"/>
              </w:rPr>
            </w:pPr>
            <w:r>
              <w:rPr>
                <w:rFonts w:hint="eastAsia" w:ascii="宋体" w:hAnsi="宋体" w:cs="宋体"/>
                <w:kern w:val="0"/>
                <w:sz w:val="21"/>
                <w:szCs w:val="21"/>
              </w:rPr>
              <w:t>针对个人独资企业转型为内资股份有限公司，同步提供内网端业务办理服务，涵盖业务流程配置、申请与登记表单处理等功能。通过预设数据映射机制，自动获取并回填个人独资企业相关数据信息。基于标准化文书模板生成申请材料清单，协助登记人员高效完成受理与审核，提升业务办理效率。</w:t>
            </w:r>
          </w:p>
        </w:tc>
        <w:tc>
          <w:tcPr>
            <w:tcW w:w="1418" w:type="dxa"/>
            <w:vMerge w:val="continue"/>
            <w:tcBorders>
              <w:top w:val="nil"/>
              <w:left w:val="single" w:color="auto" w:sz="4" w:space="0"/>
              <w:bottom w:val="single" w:color="000000" w:sz="4" w:space="0"/>
              <w:right w:val="double" w:color="auto" w:sz="4" w:space="0"/>
            </w:tcBorders>
            <w:vAlign w:val="center"/>
          </w:tcPr>
          <w:p w14:paraId="49911721">
            <w:pPr>
              <w:widowControl/>
              <w:jc w:val="left"/>
              <w:rPr>
                <w:rFonts w:ascii="宋体" w:hAnsi="宋体" w:cs="宋体"/>
                <w:kern w:val="0"/>
                <w:sz w:val="21"/>
                <w:szCs w:val="21"/>
              </w:rPr>
            </w:pPr>
          </w:p>
        </w:tc>
      </w:tr>
      <w:tr w14:paraId="39DA0A85">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3F08B45F">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5A65CC57">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6C43ECC8">
            <w:pPr>
              <w:widowControl/>
              <w:jc w:val="left"/>
              <w:rPr>
                <w:rFonts w:ascii="宋体" w:hAnsi="宋体" w:cs="宋体"/>
                <w:kern w:val="0"/>
                <w:sz w:val="21"/>
                <w:szCs w:val="21"/>
              </w:rPr>
            </w:pPr>
            <w:r>
              <w:rPr>
                <w:rFonts w:hint="eastAsia" w:ascii="宋体" w:hAnsi="宋体" w:cs="宋体"/>
                <w:kern w:val="0"/>
                <w:sz w:val="21"/>
                <w:szCs w:val="21"/>
              </w:rPr>
              <w:t>依托个人独资企业与内资股份有限公司变更登记服务，新增转型审批流程及营业执照打印服务。严格遵循《公司法》《市场主体登记管理条例》等法规要求，提供登记信息校验、执行人身份校验、本地黑名单比对等服务，并对接信用信息公示系统验证企业公示状态，联动总局系统完成实名认证与黑名单核查。整体实现个人独资企业向内资股份有限公司规范、顺畅的转型登记。</w:t>
            </w:r>
          </w:p>
        </w:tc>
        <w:tc>
          <w:tcPr>
            <w:tcW w:w="1418" w:type="dxa"/>
            <w:vMerge w:val="continue"/>
            <w:tcBorders>
              <w:top w:val="nil"/>
              <w:left w:val="single" w:color="auto" w:sz="4" w:space="0"/>
              <w:bottom w:val="single" w:color="000000" w:sz="4" w:space="0"/>
              <w:right w:val="double" w:color="auto" w:sz="4" w:space="0"/>
            </w:tcBorders>
            <w:vAlign w:val="center"/>
          </w:tcPr>
          <w:p w14:paraId="41FEEF36">
            <w:pPr>
              <w:widowControl/>
              <w:jc w:val="left"/>
              <w:rPr>
                <w:rFonts w:ascii="宋体" w:hAnsi="宋体" w:cs="宋体"/>
                <w:kern w:val="0"/>
                <w:sz w:val="21"/>
                <w:szCs w:val="21"/>
              </w:rPr>
            </w:pPr>
          </w:p>
        </w:tc>
      </w:tr>
      <w:tr w14:paraId="3012EFBF">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20524441">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2C453A8F">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43C5BFE7">
            <w:pPr>
              <w:widowControl/>
              <w:jc w:val="left"/>
              <w:rPr>
                <w:rFonts w:ascii="宋体" w:hAnsi="宋体" w:cs="宋体"/>
                <w:kern w:val="0"/>
                <w:sz w:val="21"/>
                <w:szCs w:val="21"/>
              </w:rPr>
            </w:pPr>
            <w:r>
              <w:rPr>
                <w:rFonts w:hint="eastAsia" w:ascii="宋体" w:hAnsi="宋体" w:cs="宋体"/>
                <w:kern w:val="0"/>
                <w:sz w:val="21"/>
                <w:szCs w:val="21"/>
              </w:rPr>
              <w:t>提供数据映射与转换服务，为实现个人独资企业向内资股份有限公司的高效转型，建立两者间关键数据的自动关联与转换机制。通过数据映射配置，自动识别并转换包括基本信息、发起人、董监高在内的登记关键数据，实现“一键式”数据迁移与回填，显著减少重复录入，保障数据准确一致。</w:t>
            </w:r>
          </w:p>
        </w:tc>
        <w:tc>
          <w:tcPr>
            <w:tcW w:w="1418" w:type="dxa"/>
            <w:vMerge w:val="continue"/>
            <w:tcBorders>
              <w:top w:val="nil"/>
              <w:left w:val="single" w:color="auto" w:sz="4" w:space="0"/>
              <w:bottom w:val="single" w:color="000000" w:sz="4" w:space="0"/>
              <w:right w:val="double" w:color="auto" w:sz="4" w:space="0"/>
            </w:tcBorders>
            <w:vAlign w:val="center"/>
          </w:tcPr>
          <w:p w14:paraId="54AB962F">
            <w:pPr>
              <w:widowControl/>
              <w:jc w:val="left"/>
              <w:rPr>
                <w:rFonts w:ascii="宋体" w:hAnsi="宋体" w:cs="宋体"/>
                <w:kern w:val="0"/>
                <w:sz w:val="21"/>
                <w:szCs w:val="21"/>
              </w:rPr>
            </w:pPr>
          </w:p>
        </w:tc>
      </w:tr>
      <w:tr w14:paraId="4E7A033F">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302584F9">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5A556335">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53D30CB1">
            <w:pPr>
              <w:widowControl/>
              <w:jc w:val="left"/>
              <w:rPr>
                <w:rFonts w:ascii="宋体" w:hAnsi="宋体" w:cs="宋体"/>
                <w:kern w:val="0"/>
                <w:sz w:val="21"/>
                <w:szCs w:val="21"/>
              </w:rPr>
            </w:pPr>
            <w:r>
              <w:rPr>
                <w:rFonts w:hint="eastAsia" w:ascii="宋体" w:hAnsi="宋体" w:cs="宋体"/>
                <w:kern w:val="0"/>
                <w:sz w:val="21"/>
                <w:szCs w:val="21"/>
              </w:rPr>
              <w:t>提供标准化的申请文书生成服务，支持个人独资企业转型过程中所需材料清单的按需配置，配备智能表格模板与数据接口，实现申请文件的自动生成与信息回填，有效简化材料准备流程，降低填报错误率，提升申请质量与业务协同效率。</w:t>
            </w:r>
          </w:p>
        </w:tc>
        <w:tc>
          <w:tcPr>
            <w:tcW w:w="1418" w:type="dxa"/>
            <w:vMerge w:val="continue"/>
            <w:tcBorders>
              <w:top w:val="nil"/>
              <w:left w:val="single" w:color="auto" w:sz="4" w:space="0"/>
              <w:bottom w:val="single" w:color="000000" w:sz="4" w:space="0"/>
              <w:right w:val="double" w:color="auto" w:sz="4" w:space="0"/>
            </w:tcBorders>
            <w:vAlign w:val="center"/>
          </w:tcPr>
          <w:p w14:paraId="186CF29F">
            <w:pPr>
              <w:widowControl/>
              <w:jc w:val="left"/>
              <w:rPr>
                <w:rFonts w:ascii="宋体" w:hAnsi="宋体" w:cs="宋体"/>
                <w:kern w:val="0"/>
                <w:sz w:val="21"/>
                <w:szCs w:val="21"/>
              </w:rPr>
            </w:pPr>
          </w:p>
        </w:tc>
      </w:tr>
      <w:tr w14:paraId="234EF8FF">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2F62D760">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44911D3C">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48ADA786">
            <w:pPr>
              <w:widowControl/>
              <w:jc w:val="left"/>
              <w:rPr>
                <w:rFonts w:ascii="宋体" w:hAnsi="宋体" w:cs="宋体"/>
                <w:kern w:val="0"/>
                <w:sz w:val="21"/>
                <w:szCs w:val="21"/>
              </w:rPr>
            </w:pPr>
            <w:r>
              <w:rPr>
                <w:rFonts w:hint="eastAsia" w:ascii="宋体" w:hAnsi="宋体" w:cs="宋体"/>
                <w:kern w:val="0"/>
                <w:sz w:val="21"/>
                <w:szCs w:val="21"/>
              </w:rPr>
              <w:t>提供标准化的审批文书生成服务，保障转型业务审批环节顺畅高效，可根据业务需要配置审批文书清单，依托智能模板与数据接口，实现审批文书的自动生成与数据回填，解决传统审批准备繁琐、易错的问题，提升审批效率与业务系统衔接水平。</w:t>
            </w:r>
          </w:p>
        </w:tc>
        <w:tc>
          <w:tcPr>
            <w:tcW w:w="1418" w:type="dxa"/>
            <w:vMerge w:val="continue"/>
            <w:tcBorders>
              <w:top w:val="nil"/>
              <w:left w:val="single" w:color="auto" w:sz="4" w:space="0"/>
              <w:bottom w:val="single" w:color="000000" w:sz="4" w:space="0"/>
              <w:right w:val="double" w:color="auto" w:sz="4" w:space="0"/>
            </w:tcBorders>
            <w:vAlign w:val="center"/>
          </w:tcPr>
          <w:p w14:paraId="7A4E00DE">
            <w:pPr>
              <w:widowControl/>
              <w:jc w:val="left"/>
              <w:rPr>
                <w:rFonts w:ascii="宋体" w:hAnsi="宋体" w:cs="宋体"/>
                <w:kern w:val="0"/>
                <w:sz w:val="21"/>
                <w:szCs w:val="21"/>
              </w:rPr>
            </w:pPr>
          </w:p>
        </w:tc>
      </w:tr>
      <w:tr w14:paraId="2FBB11FB">
        <w:tblPrEx>
          <w:tblCellMar>
            <w:top w:w="0" w:type="dxa"/>
            <w:left w:w="108" w:type="dxa"/>
            <w:bottom w:w="0" w:type="dxa"/>
            <w:right w:w="108" w:type="dxa"/>
          </w:tblCellMar>
        </w:tblPrEx>
        <w:trPr>
          <w:trHeight w:val="196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35402E94">
            <w:pPr>
              <w:widowControl/>
              <w:jc w:val="center"/>
              <w:rPr>
                <w:rFonts w:ascii="宋体" w:hAnsi="宋体" w:cs="宋体"/>
                <w:kern w:val="0"/>
                <w:sz w:val="21"/>
                <w:szCs w:val="21"/>
              </w:rPr>
            </w:pPr>
            <w:r>
              <w:rPr>
                <w:rFonts w:hint="eastAsia" w:ascii="宋体" w:hAnsi="宋体" w:cs="宋体"/>
                <w:kern w:val="0"/>
                <w:sz w:val="21"/>
                <w:szCs w:val="21"/>
              </w:rPr>
              <w:t>3</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671BABD7">
            <w:pPr>
              <w:widowControl/>
              <w:jc w:val="left"/>
              <w:rPr>
                <w:rFonts w:ascii="宋体" w:hAnsi="宋体" w:cs="宋体"/>
                <w:kern w:val="0"/>
                <w:sz w:val="21"/>
                <w:szCs w:val="21"/>
              </w:rPr>
            </w:pPr>
            <w:r>
              <w:rPr>
                <w:rFonts w:hint="eastAsia" w:ascii="宋体" w:hAnsi="宋体" w:cs="宋体"/>
                <w:kern w:val="0"/>
                <w:sz w:val="21"/>
                <w:szCs w:val="21"/>
              </w:rPr>
              <w:t>向外资有限责任公司转型服务</w:t>
            </w:r>
          </w:p>
        </w:tc>
        <w:tc>
          <w:tcPr>
            <w:tcW w:w="3969" w:type="dxa"/>
            <w:tcBorders>
              <w:top w:val="nil"/>
              <w:left w:val="nil"/>
              <w:bottom w:val="single" w:color="auto" w:sz="4" w:space="0"/>
              <w:right w:val="single" w:color="auto" w:sz="4" w:space="0"/>
            </w:tcBorders>
            <w:shd w:val="clear" w:color="auto" w:fill="auto"/>
            <w:vAlign w:val="center"/>
          </w:tcPr>
          <w:p w14:paraId="7FE6A888">
            <w:pPr>
              <w:widowControl/>
              <w:jc w:val="left"/>
              <w:rPr>
                <w:rFonts w:ascii="宋体" w:hAnsi="宋体" w:cs="宋体"/>
                <w:kern w:val="0"/>
                <w:sz w:val="21"/>
                <w:szCs w:val="21"/>
              </w:rPr>
            </w:pPr>
            <w:r>
              <w:rPr>
                <w:rFonts w:hint="eastAsia" w:ascii="宋体" w:hAnsi="宋体" w:cs="宋体"/>
                <w:kern w:val="0"/>
                <w:sz w:val="21"/>
                <w:szCs w:val="21"/>
              </w:rPr>
              <w:t>为支持个人独资企业转型为外资有限责任公司，现提供互联网电脑端业务办理服务，包括业务流程在线配置、申请表单在线填写与数据自动回填等功能。申请表单涵盖企业基本信息、住所信息、经营范围、前后置许可、股东信息、董监事高管信息、外资法律文书送达接收人信息、涉税信息及"多证合一"信息等内容。基于已有数据映射关系，服务将自动从个人独资企业信息中提取并回填至外资有限责任公司登记表中。同时提供申请材料生成与提交支持，依托文书智能配置，实现材料清单自动生成与登记文书规范出具，全面实现个人独资企业转型为外资有限责任公司的互联网端"一网通办"，提升企业转型办理便利度。</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43A6734D">
            <w:pPr>
              <w:widowControl/>
              <w:jc w:val="center"/>
              <w:rPr>
                <w:rFonts w:ascii="宋体" w:hAnsi="宋体" w:cs="宋体"/>
                <w:kern w:val="0"/>
                <w:sz w:val="21"/>
                <w:szCs w:val="21"/>
              </w:rPr>
            </w:pPr>
          </w:p>
        </w:tc>
      </w:tr>
      <w:tr w14:paraId="64284090">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1CCC8579">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BE9DF11">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B2D5CC1">
            <w:pPr>
              <w:widowControl/>
              <w:jc w:val="left"/>
              <w:rPr>
                <w:rFonts w:ascii="宋体" w:hAnsi="宋体" w:cs="宋体"/>
                <w:kern w:val="0"/>
                <w:sz w:val="21"/>
                <w:szCs w:val="21"/>
              </w:rPr>
            </w:pPr>
            <w:r>
              <w:rPr>
                <w:rFonts w:hint="eastAsia" w:ascii="宋体" w:hAnsi="宋体" w:cs="宋体"/>
                <w:kern w:val="0"/>
                <w:sz w:val="21"/>
                <w:szCs w:val="21"/>
              </w:rPr>
              <w:t>针对个人独资企业转型为外资有限责任公司，同步提供内网端业务办理服务，涵盖业务流程配置、申请与登记表单处理等功能。通过预设数据映射机制，自动获取并回填个人独资企业相关数据信息。基于标准化文书模板生成申请材料清单，协助登记人员高效完成受理与审核，提升内部业务处理效率。</w:t>
            </w:r>
          </w:p>
        </w:tc>
        <w:tc>
          <w:tcPr>
            <w:tcW w:w="1418" w:type="dxa"/>
            <w:vMerge w:val="continue"/>
            <w:tcBorders>
              <w:top w:val="nil"/>
              <w:left w:val="single" w:color="auto" w:sz="4" w:space="0"/>
              <w:bottom w:val="single" w:color="000000" w:sz="4" w:space="0"/>
              <w:right w:val="double" w:color="auto" w:sz="4" w:space="0"/>
            </w:tcBorders>
            <w:vAlign w:val="center"/>
          </w:tcPr>
          <w:p w14:paraId="18963A21">
            <w:pPr>
              <w:widowControl/>
              <w:jc w:val="left"/>
              <w:rPr>
                <w:rFonts w:ascii="宋体" w:hAnsi="宋体" w:cs="宋体"/>
                <w:kern w:val="0"/>
                <w:sz w:val="21"/>
                <w:szCs w:val="21"/>
              </w:rPr>
            </w:pPr>
          </w:p>
        </w:tc>
      </w:tr>
      <w:tr w14:paraId="5554EC94">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78F934AE">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6AD39744">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5FDDC3B8">
            <w:pPr>
              <w:widowControl/>
              <w:jc w:val="left"/>
              <w:rPr>
                <w:rFonts w:ascii="宋体" w:hAnsi="宋体" w:cs="宋体"/>
                <w:kern w:val="0"/>
                <w:sz w:val="21"/>
                <w:szCs w:val="21"/>
              </w:rPr>
            </w:pPr>
            <w:r>
              <w:rPr>
                <w:rFonts w:hint="eastAsia" w:ascii="宋体" w:hAnsi="宋体" w:cs="宋体"/>
                <w:kern w:val="0"/>
                <w:sz w:val="21"/>
                <w:szCs w:val="21"/>
              </w:rPr>
              <w:t>依托个人独资企业与外资有限责任公司变更登记服务，新增转型审批流程及营业执照打印服务。严格遵循《公司法》《市场主体登记管理条例》等法规要求，提供登记信息校验、执行人身份校验、本地黑名单比对等服务，并对接信用信息公示系统验证企业公示状态，联动总局系统完成实名认证与黑名单核查。整体实现个人独资企业向外资有限责任公司的规范、顺畅转型登记。</w:t>
            </w:r>
          </w:p>
        </w:tc>
        <w:tc>
          <w:tcPr>
            <w:tcW w:w="1418" w:type="dxa"/>
            <w:vMerge w:val="continue"/>
            <w:tcBorders>
              <w:top w:val="nil"/>
              <w:left w:val="single" w:color="auto" w:sz="4" w:space="0"/>
              <w:bottom w:val="single" w:color="000000" w:sz="4" w:space="0"/>
              <w:right w:val="double" w:color="auto" w:sz="4" w:space="0"/>
            </w:tcBorders>
            <w:vAlign w:val="center"/>
          </w:tcPr>
          <w:p w14:paraId="458A7673">
            <w:pPr>
              <w:widowControl/>
              <w:jc w:val="left"/>
              <w:rPr>
                <w:rFonts w:ascii="宋体" w:hAnsi="宋体" w:cs="宋体"/>
                <w:kern w:val="0"/>
                <w:sz w:val="21"/>
                <w:szCs w:val="21"/>
              </w:rPr>
            </w:pPr>
          </w:p>
        </w:tc>
      </w:tr>
      <w:tr w14:paraId="0DCCED40">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37AA0AA7">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20FA9848">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CBA3A3C">
            <w:pPr>
              <w:widowControl/>
              <w:jc w:val="left"/>
              <w:rPr>
                <w:rFonts w:ascii="宋体" w:hAnsi="宋体" w:cs="宋体"/>
                <w:kern w:val="0"/>
                <w:sz w:val="21"/>
                <w:szCs w:val="21"/>
              </w:rPr>
            </w:pPr>
            <w:r>
              <w:rPr>
                <w:rFonts w:hint="eastAsia" w:ascii="宋体" w:hAnsi="宋体" w:cs="宋体"/>
                <w:kern w:val="0"/>
                <w:sz w:val="21"/>
                <w:szCs w:val="21"/>
              </w:rPr>
              <w:t>提供数据映射配置服务，为实现个人独资企业向外资有限责任公司的高效转型，建立两者间关键数据的自动关联与转换机制。通过数据映射配置，自动识别并转换包括基本信息、股东、董监高在内的登记关键数据，实现"一键式"数据迁移与回填，显著减少重复录入，保障数据准确一致。</w:t>
            </w:r>
          </w:p>
        </w:tc>
        <w:tc>
          <w:tcPr>
            <w:tcW w:w="1418" w:type="dxa"/>
            <w:vMerge w:val="continue"/>
            <w:tcBorders>
              <w:top w:val="nil"/>
              <w:left w:val="single" w:color="auto" w:sz="4" w:space="0"/>
              <w:bottom w:val="single" w:color="000000" w:sz="4" w:space="0"/>
              <w:right w:val="double" w:color="auto" w:sz="4" w:space="0"/>
            </w:tcBorders>
            <w:vAlign w:val="center"/>
          </w:tcPr>
          <w:p w14:paraId="020A4424">
            <w:pPr>
              <w:widowControl/>
              <w:jc w:val="left"/>
              <w:rPr>
                <w:rFonts w:ascii="宋体" w:hAnsi="宋体" w:cs="宋体"/>
                <w:kern w:val="0"/>
                <w:sz w:val="21"/>
                <w:szCs w:val="21"/>
              </w:rPr>
            </w:pPr>
          </w:p>
        </w:tc>
      </w:tr>
      <w:tr w14:paraId="6E7380FC">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631D0D5F">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D037108">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5A97DFAB">
            <w:pPr>
              <w:widowControl/>
              <w:jc w:val="left"/>
              <w:rPr>
                <w:rFonts w:ascii="宋体" w:hAnsi="宋体" w:cs="宋体"/>
                <w:kern w:val="0"/>
                <w:sz w:val="21"/>
                <w:szCs w:val="21"/>
              </w:rPr>
            </w:pPr>
            <w:r>
              <w:rPr>
                <w:rFonts w:hint="eastAsia" w:ascii="宋体" w:hAnsi="宋体" w:cs="宋体"/>
                <w:kern w:val="0"/>
                <w:sz w:val="21"/>
                <w:szCs w:val="21"/>
              </w:rPr>
              <w:t>提供标准化的申请文书配置服务，保障个人独资企业转型业务顺畅高效，按需配置转型所需的材料清单，配备智能表格模板与数据接口，实现申请文件的自动生成与信息回填，有效简化材料准备流程，降低填报错误率，提升申请质量与业务协同效率。</w:t>
            </w:r>
          </w:p>
        </w:tc>
        <w:tc>
          <w:tcPr>
            <w:tcW w:w="1418" w:type="dxa"/>
            <w:vMerge w:val="continue"/>
            <w:tcBorders>
              <w:top w:val="nil"/>
              <w:left w:val="single" w:color="auto" w:sz="4" w:space="0"/>
              <w:bottom w:val="single" w:color="000000" w:sz="4" w:space="0"/>
              <w:right w:val="double" w:color="auto" w:sz="4" w:space="0"/>
            </w:tcBorders>
            <w:vAlign w:val="center"/>
          </w:tcPr>
          <w:p w14:paraId="005BF058">
            <w:pPr>
              <w:widowControl/>
              <w:jc w:val="left"/>
              <w:rPr>
                <w:rFonts w:ascii="宋体" w:hAnsi="宋体" w:cs="宋体"/>
                <w:kern w:val="0"/>
                <w:sz w:val="21"/>
                <w:szCs w:val="21"/>
              </w:rPr>
            </w:pPr>
          </w:p>
        </w:tc>
      </w:tr>
      <w:tr w14:paraId="15E00925">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03DB9844">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1820AA56">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39C353F">
            <w:pPr>
              <w:widowControl/>
              <w:jc w:val="left"/>
              <w:rPr>
                <w:rFonts w:ascii="宋体" w:hAnsi="宋体" w:cs="宋体"/>
                <w:kern w:val="0"/>
                <w:sz w:val="21"/>
                <w:szCs w:val="21"/>
              </w:rPr>
            </w:pPr>
            <w:r>
              <w:rPr>
                <w:rFonts w:hint="eastAsia" w:ascii="宋体" w:hAnsi="宋体" w:cs="宋体"/>
                <w:kern w:val="0"/>
                <w:sz w:val="21"/>
                <w:szCs w:val="21"/>
              </w:rPr>
              <w:t>提供标准化的审批文书配置服务，保障转型业务审批环节顺畅高效，可根据业务需要配置审批文书清单，依托智能模板与数据接口，实现审批文书的自动生成与数据回填，解决传统审批准备繁琐、易错的问题，提升审批效率与业务系统衔接水平。</w:t>
            </w:r>
          </w:p>
        </w:tc>
        <w:tc>
          <w:tcPr>
            <w:tcW w:w="1418" w:type="dxa"/>
            <w:vMerge w:val="continue"/>
            <w:tcBorders>
              <w:top w:val="nil"/>
              <w:left w:val="single" w:color="auto" w:sz="4" w:space="0"/>
              <w:bottom w:val="single" w:color="000000" w:sz="4" w:space="0"/>
              <w:right w:val="double" w:color="auto" w:sz="4" w:space="0"/>
            </w:tcBorders>
            <w:vAlign w:val="center"/>
          </w:tcPr>
          <w:p w14:paraId="460D045F">
            <w:pPr>
              <w:widowControl/>
              <w:jc w:val="left"/>
              <w:rPr>
                <w:rFonts w:ascii="宋体" w:hAnsi="宋体" w:cs="宋体"/>
                <w:kern w:val="0"/>
                <w:sz w:val="21"/>
                <w:szCs w:val="21"/>
              </w:rPr>
            </w:pPr>
          </w:p>
        </w:tc>
      </w:tr>
      <w:tr w14:paraId="36247EA4">
        <w:tblPrEx>
          <w:tblCellMar>
            <w:top w:w="0" w:type="dxa"/>
            <w:left w:w="108" w:type="dxa"/>
            <w:bottom w:w="0" w:type="dxa"/>
            <w:right w:w="108" w:type="dxa"/>
          </w:tblCellMar>
        </w:tblPrEx>
        <w:trPr>
          <w:trHeight w:val="196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41FFBA54">
            <w:pPr>
              <w:widowControl/>
              <w:jc w:val="center"/>
              <w:rPr>
                <w:rFonts w:ascii="宋体" w:hAnsi="宋体" w:cs="宋体"/>
                <w:kern w:val="0"/>
                <w:sz w:val="21"/>
                <w:szCs w:val="21"/>
              </w:rPr>
            </w:pPr>
            <w:r>
              <w:rPr>
                <w:rFonts w:hint="eastAsia" w:ascii="宋体" w:hAnsi="宋体" w:cs="宋体"/>
                <w:kern w:val="0"/>
                <w:sz w:val="21"/>
                <w:szCs w:val="21"/>
              </w:rPr>
              <w:t>4</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1F1CDF4A">
            <w:pPr>
              <w:widowControl/>
              <w:jc w:val="left"/>
              <w:rPr>
                <w:rFonts w:ascii="宋体" w:hAnsi="宋体" w:cs="宋体"/>
                <w:kern w:val="0"/>
                <w:sz w:val="21"/>
                <w:szCs w:val="21"/>
              </w:rPr>
            </w:pPr>
            <w:r>
              <w:rPr>
                <w:rFonts w:hint="eastAsia" w:ascii="宋体" w:hAnsi="宋体" w:cs="宋体"/>
                <w:kern w:val="0"/>
                <w:sz w:val="21"/>
                <w:szCs w:val="21"/>
              </w:rPr>
              <w:t>个人独资企业转型为外资股份有限公司</w:t>
            </w:r>
          </w:p>
        </w:tc>
        <w:tc>
          <w:tcPr>
            <w:tcW w:w="3969" w:type="dxa"/>
            <w:tcBorders>
              <w:top w:val="nil"/>
              <w:left w:val="nil"/>
              <w:bottom w:val="single" w:color="auto" w:sz="4" w:space="0"/>
              <w:right w:val="single" w:color="auto" w:sz="4" w:space="0"/>
            </w:tcBorders>
            <w:shd w:val="clear" w:color="auto" w:fill="auto"/>
            <w:vAlign w:val="center"/>
          </w:tcPr>
          <w:p w14:paraId="57DC4031">
            <w:pPr>
              <w:widowControl/>
              <w:jc w:val="left"/>
              <w:rPr>
                <w:rFonts w:ascii="宋体" w:hAnsi="宋体" w:cs="宋体"/>
                <w:kern w:val="0"/>
                <w:sz w:val="21"/>
                <w:szCs w:val="21"/>
              </w:rPr>
            </w:pPr>
            <w:r>
              <w:rPr>
                <w:rFonts w:hint="eastAsia" w:ascii="宋体" w:hAnsi="宋体" w:cs="宋体"/>
                <w:kern w:val="0"/>
                <w:sz w:val="21"/>
                <w:szCs w:val="21"/>
              </w:rPr>
              <w:t>为支持个人独资企业转型为外资股份有限公司，现提供互联网电脑端业务办理服务，包括业务流程在线配置、申请表单在线填写与数据自动回填等功能。申请表单涵盖企业基本信息、住所信息、经营范围、前后置许可、发起人信息、董监事高管信息、外资法律文书送达接收人信息、涉税信息及"多证合一"信息等内容。基于已有数据映射关系，服务将自动从个人独资企业信息中提取并回填至外资股份有限公司登记表中。同时提供申请材料生成与提交支持，依托文书智能配置，实现材料清单自动生成与登记文书规范出具，全面实现个人独资企业转型为外资股份有限公司的互联网端"一网通办"服务，提升企业转型办理便利度。</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799F63E9">
            <w:pPr>
              <w:widowControl/>
              <w:jc w:val="center"/>
              <w:rPr>
                <w:rFonts w:ascii="宋体" w:hAnsi="宋体" w:cs="宋体"/>
                <w:kern w:val="0"/>
                <w:sz w:val="21"/>
                <w:szCs w:val="21"/>
              </w:rPr>
            </w:pPr>
          </w:p>
        </w:tc>
      </w:tr>
      <w:tr w14:paraId="3AABEE98">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2C686E84">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1396A30B">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57A91EAF">
            <w:pPr>
              <w:widowControl/>
              <w:jc w:val="left"/>
              <w:rPr>
                <w:rFonts w:ascii="宋体" w:hAnsi="宋体" w:cs="宋体"/>
                <w:kern w:val="0"/>
                <w:sz w:val="21"/>
                <w:szCs w:val="21"/>
              </w:rPr>
            </w:pPr>
            <w:r>
              <w:rPr>
                <w:rFonts w:hint="eastAsia" w:ascii="宋体" w:hAnsi="宋体" w:cs="宋体"/>
                <w:kern w:val="0"/>
                <w:sz w:val="21"/>
                <w:szCs w:val="21"/>
              </w:rPr>
              <w:t>针对个人独资企业转型为外资股份有限公司，同步提供内网端业务办理服务，涵盖业务流程配置、申请与登记表单处理等功能。通过预设数据映射机制，自动获取并回填个人独资企业相关数据信息。基于标准化文书模板生成申请材料清单，协助登记人员高效完成受理与审核，提升内部业务处理效率。</w:t>
            </w:r>
          </w:p>
        </w:tc>
        <w:tc>
          <w:tcPr>
            <w:tcW w:w="1418" w:type="dxa"/>
            <w:vMerge w:val="continue"/>
            <w:tcBorders>
              <w:top w:val="nil"/>
              <w:left w:val="single" w:color="auto" w:sz="4" w:space="0"/>
              <w:bottom w:val="single" w:color="000000" w:sz="4" w:space="0"/>
              <w:right w:val="double" w:color="auto" w:sz="4" w:space="0"/>
            </w:tcBorders>
            <w:vAlign w:val="center"/>
          </w:tcPr>
          <w:p w14:paraId="2208663F">
            <w:pPr>
              <w:widowControl/>
              <w:jc w:val="left"/>
              <w:rPr>
                <w:rFonts w:ascii="宋体" w:hAnsi="宋体" w:cs="宋体"/>
                <w:kern w:val="0"/>
                <w:sz w:val="21"/>
                <w:szCs w:val="21"/>
              </w:rPr>
            </w:pPr>
          </w:p>
        </w:tc>
      </w:tr>
      <w:tr w14:paraId="2AB62E4E">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3D866A33">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7CD89779">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4903856">
            <w:pPr>
              <w:widowControl/>
              <w:jc w:val="left"/>
              <w:rPr>
                <w:rFonts w:ascii="宋体" w:hAnsi="宋体" w:cs="宋体"/>
                <w:kern w:val="0"/>
                <w:sz w:val="21"/>
                <w:szCs w:val="21"/>
              </w:rPr>
            </w:pPr>
            <w:r>
              <w:rPr>
                <w:rFonts w:hint="eastAsia" w:ascii="宋体" w:hAnsi="宋体" w:cs="宋体"/>
                <w:kern w:val="0"/>
                <w:sz w:val="21"/>
                <w:szCs w:val="21"/>
              </w:rPr>
              <w:t>依托个人独资企业与外资股份有限公司变更登记服务，新增转型审批流程及营业执照打印服务。严格遵循《公司法》《市场主体登记管理条例》等法规要求，提供登记信息校验、执行人身份校验、本地黑名单比对等服务，并对接信用信息公示系统验证企业公示状态，联动总局系统完成实名认证与黑名单核查。整体实现个人独资企业向外资股份有限公司的规范、顺畅转型登记。</w:t>
            </w:r>
          </w:p>
        </w:tc>
        <w:tc>
          <w:tcPr>
            <w:tcW w:w="1418" w:type="dxa"/>
            <w:vMerge w:val="continue"/>
            <w:tcBorders>
              <w:top w:val="nil"/>
              <w:left w:val="single" w:color="auto" w:sz="4" w:space="0"/>
              <w:bottom w:val="single" w:color="000000" w:sz="4" w:space="0"/>
              <w:right w:val="double" w:color="auto" w:sz="4" w:space="0"/>
            </w:tcBorders>
            <w:vAlign w:val="center"/>
          </w:tcPr>
          <w:p w14:paraId="7DB121FE">
            <w:pPr>
              <w:widowControl/>
              <w:jc w:val="left"/>
              <w:rPr>
                <w:rFonts w:ascii="宋体" w:hAnsi="宋体" w:cs="宋体"/>
                <w:kern w:val="0"/>
                <w:sz w:val="21"/>
                <w:szCs w:val="21"/>
              </w:rPr>
            </w:pPr>
          </w:p>
        </w:tc>
      </w:tr>
      <w:tr w14:paraId="08D6C1C6">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39500292">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14671041">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4B6F78F6">
            <w:pPr>
              <w:widowControl/>
              <w:jc w:val="left"/>
              <w:rPr>
                <w:rFonts w:ascii="宋体" w:hAnsi="宋体" w:cs="宋体"/>
                <w:kern w:val="0"/>
                <w:sz w:val="21"/>
                <w:szCs w:val="21"/>
              </w:rPr>
            </w:pPr>
            <w:r>
              <w:rPr>
                <w:rFonts w:hint="eastAsia" w:ascii="宋体" w:hAnsi="宋体" w:cs="宋体"/>
                <w:kern w:val="0"/>
                <w:sz w:val="21"/>
                <w:szCs w:val="21"/>
              </w:rPr>
              <w:t>提供数据映射配置服务，为实现个人独资企业向外资股份有限公司的高效转型，建立两者间关键数据的自动关联与转换机制。通过数据映射配置，自动识别并转换包括基本信息、发起人、董监高在内的登记关键数据，实现"一键式"数据迁移与回填，显著减少重复录入，保障数据准确一致。</w:t>
            </w:r>
          </w:p>
        </w:tc>
        <w:tc>
          <w:tcPr>
            <w:tcW w:w="1418" w:type="dxa"/>
            <w:vMerge w:val="continue"/>
            <w:tcBorders>
              <w:top w:val="nil"/>
              <w:left w:val="single" w:color="auto" w:sz="4" w:space="0"/>
              <w:bottom w:val="single" w:color="000000" w:sz="4" w:space="0"/>
              <w:right w:val="double" w:color="auto" w:sz="4" w:space="0"/>
            </w:tcBorders>
            <w:vAlign w:val="center"/>
          </w:tcPr>
          <w:p w14:paraId="608C8E44">
            <w:pPr>
              <w:widowControl/>
              <w:jc w:val="left"/>
              <w:rPr>
                <w:rFonts w:ascii="宋体" w:hAnsi="宋体" w:cs="宋体"/>
                <w:kern w:val="0"/>
                <w:sz w:val="21"/>
                <w:szCs w:val="21"/>
              </w:rPr>
            </w:pPr>
          </w:p>
        </w:tc>
      </w:tr>
      <w:tr w14:paraId="59DB5BEB">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30CDC394">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21B3AC07">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499058D">
            <w:pPr>
              <w:widowControl/>
              <w:jc w:val="left"/>
              <w:rPr>
                <w:rFonts w:ascii="宋体" w:hAnsi="宋体" w:cs="宋体"/>
                <w:kern w:val="0"/>
                <w:sz w:val="21"/>
                <w:szCs w:val="21"/>
              </w:rPr>
            </w:pPr>
            <w:r>
              <w:rPr>
                <w:rFonts w:hint="eastAsia" w:ascii="宋体" w:hAnsi="宋体" w:cs="宋体"/>
                <w:kern w:val="0"/>
                <w:sz w:val="21"/>
                <w:szCs w:val="21"/>
              </w:rPr>
              <w:t>提供标准化的申请文书配置服务，保障个人独资企业转型业务顺畅高效，按需配置转型所需的材料清单，配备智能表格模板与数据接口，实现申请文件的自动生成与信息回填，有效简化材料准备流程，降低填报错误率，提升申请质量与业务协同效率。</w:t>
            </w:r>
          </w:p>
        </w:tc>
        <w:tc>
          <w:tcPr>
            <w:tcW w:w="1418" w:type="dxa"/>
            <w:vMerge w:val="continue"/>
            <w:tcBorders>
              <w:top w:val="nil"/>
              <w:left w:val="single" w:color="auto" w:sz="4" w:space="0"/>
              <w:bottom w:val="single" w:color="000000" w:sz="4" w:space="0"/>
              <w:right w:val="double" w:color="auto" w:sz="4" w:space="0"/>
            </w:tcBorders>
            <w:vAlign w:val="center"/>
          </w:tcPr>
          <w:p w14:paraId="22E470CB">
            <w:pPr>
              <w:widowControl/>
              <w:jc w:val="left"/>
              <w:rPr>
                <w:rFonts w:ascii="宋体" w:hAnsi="宋体" w:cs="宋体"/>
                <w:kern w:val="0"/>
                <w:sz w:val="21"/>
                <w:szCs w:val="21"/>
              </w:rPr>
            </w:pPr>
          </w:p>
        </w:tc>
      </w:tr>
      <w:tr w14:paraId="4F7343EB">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1BF4D42C">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34916506">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DF58E85">
            <w:pPr>
              <w:widowControl/>
              <w:jc w:val="left"/>
              <w:rPr>
                <w:rFonts w:ascii="宋体" w:hAnsi="宋体" w:cs="宋体"/>
                <w:kern w:val="0"/>
                <w:sz w:val="21"/>
                <w:szCs w:val="21"/>
              </w:rPr>
            </w:pPr>
            <w:r>
              <w:rPr>
                <w:rFonts w:hint="eastAsia" w:ascii="宋体" w:hAnsi="宋体" w:cs="宋体"/>
                <w:kern w:val="0"/>
                <w:sz w:val="21"/>
                <w:szCs w:val="21"/>
              </w:rPr>
              <w:t>提供标准化的审批文书配置服务，保障转型业务审批环节顺畅高效，可根据业务需要配置审批文书清单，依托智能模板与数据接口，实现审批文书的自动生成与数据回填，解决传统审批准备繁琐、易错的问题，提升审批效率与业务系统衔接水平。</w:t>
            </w:r>
          </w:p>
        </w:tc>
        <w:tc>
          <w:tcPr>
            <w:tcW w:w="1418" w:type="dxa"/>
            <w:vMerge w:val="continue"/>
            <w:tcBorders>
              <w:top w:val="nil"/>
              <w:left w:val="single" w:color="auto" w:sz="4" w:space="0"/>
              <w:bottom w:val="single" w:color="000000" w:sz="4" w:space="0"/>
              <w:right w:val="double" w:color="auto" w:sz="4" w:space="0"/>
            </w:tcBorders>
            <w:vAlign w:val="center"/>
          </w:tcPr>
          <w:p w14:paraId="3915486B">
            <w:pPr>
              <w:widowControl/>
              <w:jc w:val="left"/>
              <w:rPr>
                <w:rFonts w:ascii="宋体" w:hAnsi="宋体" w:cs="宋体"/>
                <w:kern w:val="0"/>
                <w:sz w:val="21"/>
                <w:szCs w:val="21"/>
              </w:rPr>
            </w:pPr>
          </w:p>
        </w:tc>
      </w:tr>
      <w:tr w14:paraId="16996835">
        <w:tblPrEx>
          <w:tblCellMar>
            <w:top w:w="0" w:type="dxa"/>
            <w:left w:w="108" w:type="dxa"/>
            <w:bottom w:w="0" w:type="dxa"/>
            <w:right w:w="108" w:type="dxa"/>
          </w:tblCellMar>
        </w:tblPrEx>
        <w:trPr>
          <w:trHeight w:val="168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6E185F11">
            <w:pPr>
              <w:widowControl/>
              <w:jc w:val="center"/>
              <w:rPr>
                <w:rFonts w:ascii="宋体" w:hAnsi="宋体" w:cs="宋体"/>
                <w:kern w:val="0"/>
                <w:sz w:val="21"/>
                <w:szCs w:val="21"/>
              </w:rPr>
            </w:pPr>
            <w:r>
              <w:rPr>
                <w:rFonts w:hint="eastAsia" w:ascii="宋体" w:hAnsi="宋体" w:cs="宋体"/>
                <w:kern w:val="0"/>
                <w:sz w:val="21"/>
                <w:szCs w:val="21"/>
              </w:rPr>
              <w:t>5</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6B763939">
            <w:pPr>
              <w:widowControl/>
              <w:jc w:val="left"/>
              <w:rPr>
                <w:rFonts w:ascii="宋体" w:hAnsi="宋体" w:cs="宋体"/>
                <w:kern w:val="0"/>
                <w:sz w:val="21"/>
                <w:szCs w:val="21"/>
              </w:rPr>
            </w:pPr>
            <w:r>
              <w:rPr>
                <w:rFonts w:hint="eastAsia" w:ascii="宋体" w:hAnsi="宋体" w:cs="宋体"/>
                <w:kern w:val="0"/>
                <w:sz w:val="21"/>
                <w:szCs w:val="21"/>
              </w:rPr>
              <w:t>向内资合伙企业转型服务</w:t>
            </w:r>
          </w:p>
        </w:tc>
        <w:tc>
          <w:tcPr>
            <w:tcW w:w="3969" w:type="dxa"/>
            <w:tcBorders>
              <w:top w:val="nil"/>
              <w:left w:val="nil"/>
              <w:bottom w:val="single" w:color="auto" w:sz="4" w:space="0"/>
              <w:right w:val="single" w:color="auto" w:sz="4" w:space="0"/>
            </w:tcBorders>
            <w:shd w:val="clear" w:color="auto" w:fill="auto"/>
            <w:vAlign w:val="center"/>
          </w:tcPr>
          <w:p w14:paraId="3913928A">
            <w:pPr>
              <w:widowControl/>
              <w:jc w:val="left"/>
              <w:rPr>
                <w:rFonts w:ascii="宋体" w:hAnsi="宋体" w:cs="宋体"/>
                <w:kern w:val="0"/>
                <w:sz w:val="21"/>
                <w:szCs w:val="21"/>
              </w:rPr>
            </w:pPr>
            <w:r>
              <w:rPr>
                <w:rFonts w:hint="eastAsia" w:ascii="宋体" w:hAnsi="宋体" w:cs="宋体"/>
                <w:kern w:val="0"/>
                <w:sz w:val="21"/>
                <w:szCs w:val="21"/>
              </w:rPr>
              <w:t>为支持个人独资企业转型为内资合伙企业，现提供互联网电脑端业务办理服务，包括业务流程在线配置、申请表单在线填写与数据自动回填等功能。申请表单涵盖企业基本信息、住所信息、经营范围、前后置许可、合伙人信息、执行事务合伙人或委派代表信息、涉税信息及"多证合一"信息等内容。基于已有数据映射关系，服务将自动从个人独资企业信息中提取并回填至内资合伙企业登记表中。同时提供申请材料生成与提交支持，依托文书智能配置，实现材料清单自动生成与登记文书规范出具，全面实现个人独资企业转型为内资合伙企业的互联网端"一网通办"，提升企业转型办理便利度。</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6FD0D93E">
            <w:pPr>
              <w:widowControl/>
              <w:jc w:val="center"/>
              <w:rPr>
                <w:rFonts w:ascii="宋体" w:hAnsi="宋体" w:cs="宋体"/>
                <w:kern w:val="0"/>
                <w:sz w:val="21"/>
                <w:szCs w:val="21"/>
              </w:rPr>
            </w:pPr>
          </w:p>
        </w:tc>
      </w:tr>
      <w:tr w14:paraId="19BDDD46">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493DE1D7">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14EF51B">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492AD1EC">
            <w:pPr>
              <w:widowControl/>
              <w:jc w:val="left"/>
              <w:rPr>
                <w:rFonts w:ascii="宋体" w:hAnsi="宋体" w:cs="宋体"/>
                <w:kern w:val="0"/>
                <w:sz w:val="21"/>
                <w:szCs w:val="21"/>
              </w:rPr>
            </w:pPr>
            <w:r>
              <w:rPr>
                <w:rFonts w:hint="eastAsia" w:ascii="宋体" w:hAnsi="宋体" w:cs="宋体"/>
                <w:kern w:val="0"/>
                <w:sz w:val="21"/>
                <w:szCs w:val="21"/>
              </w:rPr>
              <w:t>针对个人独资企业转型为内资合伙企业，同步提供内网端业务办理服务，涵盖业务流程配置、申请与登记表单处理等功能。通过预设数据映射机制，自动获取并回填个人独资企业相关数据信息。基于标准化文书模板生成申请材料清单，协助登记人员高效完成受理与审核，提升内部业务处理效率。</w:t>
            </w:r>
          </w:p>
        </w:tc>
        <w:tc>
          <w:tcPr>
            <w:tcW w:w="1418" w:type="dxa"/>
            <w:vMerge w:val="continue"/>
            <w:tcBorders>
              <w:top w:val="nil"/>
              <w:left w:val="single" w:color="auto" w:sz="4" w:space="0"/>
              <w:bottom w:val="single" w:color="000000" w:sz="4" w:space="0"/>
              <w:right w:val="double" w:color="auto" w:sz="4" w:space="0"/>
            </w:tcBorders>
            <w:vAlign w:val="center"/>
          </w:tcPr>
          <w:p w14:paraId="649EBFE4">
            <w:pPr>
              <w:widowControl/>
              <w:jc w:val="left"/>
              <w:rPr>
                <w:rFonts w:ascii="宋体" w:hAnsi="宋体" w:cs="宋体"/>
                <w:kern w:val="0"/>
                <w:sz w:val="21"/>
                <w:szCs w:val="21"/>
              </w:rPr>
            </w:pPr>
          </w:p>
        </w:tc>
      </w:tr>
      <w:tr w14:paraId="6D1D32E1">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3B89FCA7">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E898810">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DA8D0BB">
            <w:pPr>
              <w:widowControl/>
              <w:jc w:val="left"/>
              <w:rPr>
                <w:rFonts w:ascii="宋体" w:hAnsi="宋体" w:cs="宋体"/>
                <w:kern w:val="0"/>
                <w:sz w:val="21"/>
                <w:szCs w:val="21"/>
              </w:rPr>
            </w:pPr>
            <w:r>
              <w:rPr>
                <w:rFonts w:hint="eastAsia" w:ascii="宋体" w:hAnsi="宋体" w:cs="宋体"/>
                <w:kern w:val="0"/>
                <w:sz w:val="21"/>
                <w:szCs w:val="21"/>
              </w:rPr>
              <w:t>依托个人独资企业与内资合伙企业变更登记服务，新增转型审批流程及营业执照打印服务。严格遵循《公司法》《市场主体登记管理条例》等法规要求，提供登记信息校验、执行人身份校验、本地黑名单比对等服务，并对接信用信息公示系统验证企业公示状态，联动总局系统完成实名认证与黑名单核查。整体实现个人独资企业向内资合伙企业的规范、顺畅转型登记。</w:t>
            </w:r>
          </w:p>
        </w:tc>
        <w:tc>
          <w:tcPr>
            <w:tcW w:w="1418" w:type="dxa"/>
            <w:vMerge w:val="continue"/>
            <w:tcBorders>
              <w:top w:val="nil"/>
              <w:left w:val="single" w:color="auto" w:sz="4" w:space="0"/>
              <w:bottom w:val="single" w:color="000000" w:sz="4" w:space="0"/>
              <w:right w:val="double" w:color="auto" w:sz="4" w:space="0"/>
            </w:tcBorders>
            <w:vAlign w:val="center"/>
          </w:tcPr>
          <w:p w14:paraId="5F036DD3">
            <w:pPr>
              <w:widowControl/>
              <w:jc w:val="left"/>
              <w:rPr>
                <w:rFonts w:ascii="宋体" w:hAnsi="宋体" w:cs="宋体"/>
                <w:kern w:val="0"/>
                <w:sz w:val="21"/>
                <w:szCs w:val="21"/>
              </w:rPr>
            </w:pPr>
          </w:p>
        </w:tc>
      </w:tr>
      <w:tr w14:paraId="1D119214">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24E360BB">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40C4E74D">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5971D40">
            <w:pPr>
              <w:widowControl/>
              <w:jc w:val="left"/>
              <w:rPr>
                <w:rFonts w:ascii="宋体" w:hAnsi="宋体" w:cs="宋体"/>
                <w:kern w:val="0"/>
                <w:sz w:val="21"/>
                <w:szCs w:val="21"/>
              </w:rPr>
            </w:pPr>
            <w:r>
              <w:rPr>
                <w:rFonts w:hint="eastAsia" w:ascii="宋体" w:hAnsi="宋体" w:cs="宋体"/>
                <w:kern w:val="0"/>
                <w:sz w:val="21"/>
                <w:szCs w:val="21"/>
              </w:rPr>
              <w:t>提供数据映射配置服务，为实现个人独资企业向内资合伙企业的高效转型，建立两者间关键数据的自动关联与转换机制。通过数据映射配置，自动识别并转换包括基本信息、合伙人、执行事务合伙人在内的登记关键数据，实现"一键式"数据迁移与回填，显著减少重复录入，保障数据准确一致。</w:t>
            </w:r>
          </w:p>
        </w:tc>
        <w:tc>
          <w:tcPr>
            <w:tcW w:w="1418" w:type="dxa"/>
            <w:vMerge w:val="continue"/>
            <w:tcBorders>
              <w:top w:val="nil"/>
              <w:left w:val="single" w:color="auto" w:sz="4" w:space="0"/>
              <w:bottom w:val="single" w:color="000000" w:sz="4" w:space="0"/>
              <w:right w:val="double" w:color="auto" w:sz="4" w:space="0"/>
            </w:tcBorders>
            <w:vAlign w:val="center"/>
          </w:tcPr>
          <w:p w14:paraId="47C1C3DF">
            <w:pPr>
              <w:widowControl/>
              <w:jc w:val="left"/>
              <w:rPr>
                <w:rFonts w:ascii="宋体" w:hAnsi="宋体" w:cs="宋体"/>
                <w:kern w:val="0"/>
                <w:sz w:val="21"/>
                <w:szCs w:val="21"/>
              </w:rPr>
            </w:pPr>
          </w:p>
        </w:tc>
      </w:tr>
      <w:tr w14:paraId="6B0893D6">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6197A3BC">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32B476D">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798D516">
            <w:pPr>
              <w:widowControl/>
              <w:jc w:val="left"/>
              <w:rPr>
                <w:rFonts w:ascii="宋体" w:hAnsi="宋体" w:cs="宋体"/>
                <w:kern w:val="0"/>
                <w:sz w:val="21"/>
                <w:szCs w:val="21"/>
              </w:rPr>
            </w:pPr>
            <w:r>
              <w:rPr>
                <w:rFonts w:hint="eastAsia" w:ascii="宋体" w:hAnsi="宋体" w:cs="宋体"/>
                <w:kern w:val="0"/>
                <w:sz w:val="21"/>
                <w:szCs w:val="21"/>
              </w:rPr>
              <w:t>提供标准化的申请文书配置服务，保障个人独资企业转型业务顺畅高效，按需配置转型所需的材料清单，配备智能表格模板与数据接口，实现申请文件的自动生成与信息回填，有效简化材料准备流程，降低填报错误率，提升申请质量与业务协同效率。</w:t>
            </w:r>
          </w:p>
        </w:tc>
        <w:tc>
          <w:tcPr>
            <w:tcW w:w="1418" w:type="dxa"/>
            <w:vMerge w:val="continue"/>
            <w:tcBorders>
              <w:top w:val="nil"/>
              <w:left w:val="single" w:color="auto" w:sz="4" w:space="0"/>
              <w:bottom w:val="single" w:color="000000" w:sz="4" w:space="0"/>
              <w:right w:val="double" w:color="auto" w:sz="4" w:space="0"/>
            </w:tcBorders>
            <w:vAlign w:val="center"/>
          </w:tcPr>
          <w:p w14:paraId="07D6D934">
            <w:pPr>
              <w:widowControl/>
              <w:jc w:val="left"/>
              <w:rPr>
                <w:rFonts w:ascii="宋体" w:hAnsi="宋体" w:cs="宋体"/>
                <w:kern w:val="0"/>
                <w:sz w:val="21"/>
                <w:szCs w:val="21"/>
              </w:rPr>
            </w:pPr>
          </w:p>
        </w:tc>
      </w:tr>
      <w:tr w14:paraId="003EE918">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4A2AB61B">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411C0394">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4E50EC79">
            <w:pPr>
              <w:widowControl/>
              <w:jc w:val="left"/>
              <w:rPr>
                <w:rFonts w:ascii="宋体" w:hAnsi="宋体" w:cs="宋体"/>
                <w:kern w:val="0"/>
                <w:sz w:val="21"/>
                <w:szCs w:val="21"/>
              </w:rPr>
            </w:pPr>
            <w:r>
              <w:rPr>
                <w:rFonts w:hint="eastAsia" w:ascii="宋体" w:hAnsi="宋体" w:cs="宋体"/>
                <w:kern w:val="0"/>
                <w:sz w:val="21"/>
                <w:szCs w:val="21"/>
              </w:rPr>
              <w:t>提供标准化的审批文书配置服务，保障转型业务审批环节顺畅高效，可根据业务需要配置审批文书清单，依托智能模板与数据接口，实现审批文书的自动生成与数据回填，解决传统审批准备繁琐、易错的问题，提升审批效率与业务系统衔接水平。</w:t>
            </w:r>
          </w:p>
        </w:tc>
        <w:tc>
          <w:tcPr>
            <w:tcW w:w="1418" w:type="dxa"/>
            <w:vMerge w:val="continue"/>
            <w:tcBorders>
              <w:top w:val="nil"/>
              <w:left w:val="single" w:color="auto" w:sz="4" w:space="0"/>
              <w:bottom w:val="single" w:color="000000" w:sz="4" w:space="0"/>
              <w:right w:val="double" w:color="auto" w:sz="4" w:space="0"/>
            </w:tcBorders>
            <w:vAlign w:val="center"/>
          </w:tcPr>
          <w:p w14:paraId="185C51C4">
            <w:pPr>
              <w:widowControl/>
              <w:jc w:val="left"/>
              <w:rPr>
                <w:rFonts w:ascii="宋体" w:hAnsi="宋体" w:cs="宋体"/>
                <w:kern w:val="0"/>
                <w:sz w:val="21"/>
                <w:szCs w:val="21"/>
              </w:rPr>
            </w:pPr>
          </w:p>
        </w:tc>
      </w:tr>
      <w:tr w14:paraId="21CF9ED5">
        <w:tblPrEx>
          <w:tblCellMar>
            <w:top w:w="0" w:type="dxa"/>
            <w:left w:w="108" w:type="dxa"/>
            <w:bottom w:w="0" w:type="dxa"/>
            <w:right w:w="108" w:type="dxa"/>
          </w:tblCellMar>
        </w:tblPrEx>
        <w:trPr>
          <w:trHeight w:val="196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7AF0593E">
            <w:pPr>
              <w:widowControl/>
              <w:jc w:val="center"/>
              <w:rPr>
                <w:rFonts w:ascii="宋体" w:hAnsi="宋体" w:cs="宋体"/>
                <w:kern w:val="0"/>
                <w:sz w:val="21"/>
                <w:szCs w:val="21"/>
              </w:rPr>
            </w:pPr>
            <w:r>
              <w:rPr>
                <w:rFonts w:hint="eastAsia" w:ascii="宋体" w:hAnsi="宋体" w:cs="宋体"/>
                <w:kern w:val="0"/>
                <w:sz w:val="21"/>
                <w:szCs w:val="21"/>
              </w:rPr>
              <w:t>6</w:t>
            </w:r>
          </w:p>
        </w:tc>
        <w:tc>
          <w:tcPr>
            <w:tcW w:w="1984" w:type="dxa"/>
            <w:vMerge w:val="restart"/>
            <w:tcBorders>
              <w:top w:val="nil"/>
              <w:left w:val="single" w:color="auto" w:sz="4" w:space="0"/>
              <w:bottom w:val="nil"/>
              <w:right w:val="single" w:color="auto" w:sz="4" w:space="0"/>
            </w:tcBorders>
            <w:shd w:val="clear" w:color="auto" w:fill="auto"/>
            <w:vAlign w:val="center"/>
          </w:tcPr>
          <w:p w14:paraId="080C709E">
            <w:pPr>
              <w:widowControl/>
              <w:jc w:val="left"/>
              <w:rPr>
                <w:rFonts w:ascii="宋体" w:hAnsi="宋体" w:cs="宋体"/>
                <w:kern w:val="0"/>
                <w:sz w:val="21"/>
                <w:szCs w:val="21"/>
              </w:rPr>
            </w:pPr>
            <w:r>
              <w:rPr>
                <w:rFonts w:hint="eastAsia" w:ascii="宋体" w:hAnsi="宋体" w:cs="宋体"/>
                <w:kern w:val="0"/>
                <w:sz w:val="21"/>
                <w:szCs w:val="21"/>
              </w:rPr>
              <w:t>向外资合伙企业转型服务</w:t>
            </w:r>
          </w:p>
        </w:tc>
        <w:tc>
          <w:tcPr>
            <w:tcW w:w="3969" w:type="dxa"/>
            <w:tcBorders>
              <w:top w:val="nil"/>
              <w:left w:val="nil"/>
              <w:bottom w:val="single" w:color="auto" w:sz="4" w:space="0"/>
              <w:right w:val="single" w:color="auto" w:sz="4" w:space="0"/>
            </w:tcBorders>
            <w:shd w:val="clear" w:color="auto" w:fill="auto"/>
            <w:vAlign w:val="center"/>
          </w:tcPr>
          <w:p w14:paraId="285381A4">
            <w:pPr>
              <w:widowControl/>
              <w:jc w:val="left"/>
              <w:rPr>
                <w:rFonts w:ascii="宋体" w:hAnsi="宋体" w:cs="宋体"/>
                <w:kern w:val="0"/>
                <w:sz w:val="21"/>
                <w:szCs w:val="21"/>
              </w:rPr>
            </w:pPr>
            <w:r>
              <w:rPr>
                <w:rFonts w:hint="eastAsia" w:ascii="宋体" w:hAnsi="宋体" w:cs="宋体"/>
                <w:kern w:val="0"/>
                <w:sz w:val="21"/>
                <w:szCs w:val="21"/>
              </w:rPr>
              <w:t>为支持个人独资企业转型为外资合伙企业，现提供互联网电脑端业务办理服务，包括业务流程在线配置、申请表单在线填写与数据自动回填等功能。申请表单涵盖企业基本信息、住所信息、经营范围、前后置许可、合伙人信息、执行事务合伙人或委派代表信息、外资法律文书送达接收人信息、涉税信息及"多证合一"信息等内容。基于已有数据映射关系，服务将自动从个人独资企业信息中提取并回填至外资合伙企业登记表中。同时提供申请材料生成与提交支持，依托文书智能配置，实现材料清单自动生成与登记文书规范出具，全面实现个人独资企业转型为外资合伙企业的互联网端"一网通办"，提升企业转型办理便利度。</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7F10B941">
            <w:pPr>
              <w:widowControl/>
              <w:jc w:val="center"/>
              <w:rPr>
                <w:rFonts w:ascii="宋体" w:hAnsi="宋体" w:cs="宋体"/>
                <w:kern w:val="0"/>
                <w:sz w:val="21"/>
                <w:szCs w:val="21"/>
              </w:rPr>
            </w:pPr>
          </w:p>
        </w:tc>
      </w:tr>
      <w:tr w14:paraId="355A9020">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5F48B881">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0878FD07">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190A86A">
            <w:pPr>
              <w:widowControl/>
              <w:jc w:val="left"/>
              <w:rPr>
                <w:rFonts w:ascii="宋体" w:hAnsi="宋体" w:cs="宋体"/>
                <w:kern w:val="0"/>
                <w:sz w:val="21"/>
                <w:szCs w:val="21"/>
              </w:rPr>
            </w:pPr>
            <w:r>
              <w:rPr>
                <w:rFonts w:hint="eastAsia" w:ascii="宋体" w:hAnsi="宋体" w:cs="宋体"/>
                <w:kern w:val="0"/>
                <w:sz w:val="21"/>
                <w:szCs w:val="21"/>
              </w:rPr>
              <w:t>针对个人独资企业转型为外资合伙企业，同步提供内网端业务办理服务，涵盖业务流程配置、申请与登记表单处理等功能。通过预设数据映射机制，自动获取并回填个人独资企业相关数据信息。基于标准化文书模板生成申请材料清单，协助登记人员高效完成受理与审核，提升内部业务处理效率。</w:t>
            </w:r>
          </w:p>
        </w:tc>
        <w:tc>
          <w:tcPr>
            <w:tcW w:w="1418" w:type="dxa"/>
            <w:vMerge w:val="continue"/>
            <w:tcBorders>
              <w:top w:val="nil"/>
              <w:left w:val="single" w:color="auto" w:sz="4" w:space="0"/>
              <w:bottom w:val="single" w:color="000000" w:sz="4" w:space="0"/>
              <w:right w:val="double" w:color="auto" w:sz="4" w:space="0"/>
            </w:tcBorders>
            <w:vAlign w:val="center"/>
          </w:tcPr>
          <w:p w14:paraId="23ED5D22">
            <w:pPr>
              <w:widowControl/>
              <w:jc w:val="left"/>
              <w:rPr>
                <w:rFonts w:ascii="宋体" w:hAnsi="宋体" w:cs="宋体"/>
                <w:kern w:val="0"/>
                <w:sz w:val="21"/>
                <w:szCs w:val="21"/>
              </w:rPr>
            </w:pPr>
          </w:p>
        </w:tc>
      </w:tr>
      <w:tr w14:paraId="110FD54E">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08FB2173">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058083BF">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84F46C9">
            <w:pPr>
              <w:widowControl/>
              <w:jc w:val="left"/>
              <w:rPr>
                <w:rFonts w:ascii="宋体" w:hAnsi="宋体" w:cs="宋体"/>
                <w:kern w:val="0"/>
                <w:sz w:val="21"/>
                <w:szCs w:val="21"/>
              </w:rPr>
            </w:pPr>
            <w:r>
              <w:rPr>
                <w:rFonts w:hint="eastAsia" w:ascii="宋体" w:hAnsi="宋体" w:cs="宋体"/>
                <w:kern w:val="0"/>
                <w:sz w:val="21"/>
                <w:szCs w:val="21"/>
              </w:rPr>
              <w:t>依托个人独资企业与外资合伙企业变更登记服务，新增转型审批流程及营业执照打印服务。严格遵循《公司法》《市场主体登记管理条例》等法规要求，提供登记信息校验、执行人身份校验、本地黑名单比对等服务，并对接信用信息公示系统验证企业公示状态，联动总局系统完成实名认证与黑名单核查。整体实现个人独资企业向外资合伙企业的规范、顺畅转型登记。</w:t>
            </w:r>
          </w:p>
        </w:tc>
        <w:tc>
          <w:tcPr>
            <w:tcW w:w="1418" w:type="dxa"/>
            <w:vMerge w:val="continue"/>
            <w:tcBorders>
              <w:top w:val="nil"/>
              <w:left w:val="single" w:color="auto" w:sz="4" w:space="0"/>
              <w:bottom w:val="single" w:color="000000" w:sz="4" w:space="0"/>
              <w:right w:val="double" w:color="auto" w:sz="4" w:space="0"/>
            </w:tcBorders>
            <w:vAlign w:val="center"/>
          </w:tcPr>
          <w:p w14:paraId="34D1F671">
            <w:pPr>
              <w:widowControl/>
              <w:jc w:val="left"/>
              <w:rPr>
                <w:rFonts w:ascii="宋体" w:hAnsi="宋体" w:cs="宋体"/>
                <w:kern w:val="0"/>
                <w:sz w:val="21"/>
                <w:szCs w:val="21"/>
              </w:rPr>
            </w:pPr>
          </w:p>
        </w:tc>
      </w:tr>
      <w:tr w14:paraId="07C303BA">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3B6E7EF8">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23048A41">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16AC3BB">
            <w:pPr>
              <w:widowControl/>
              <w:jc w:val="left"/>
              <w:rPr>
                <w:rFonts w:ascii="宋体" w:hAnsi="宋体" w:cs="宋体"/>
                <w:kern w:val="0"/>
                <w:sz w:val="21"/>
                <w:szCs w:val="21"/>
              </w:rPr>
            </w:pPr>
            <w:r>
              <w:rPr>
                <w:rFonts w:hint="eastAsia" w:ascii="宋体" w:hAnsi="宋体" w:cs="宋体"/>
                <w:kern w:val="0"/>
                <w:sz w:val="21"/>
                <w:szCs w:val="21"/>
              </w:rPr>
              <w:t>提供数据映射配置服务，为实现个人独资企业向外资合伙企业的高效转型，建立两者间关键数据的自动关联与转换机制。通过数据映射配置，自动识别并转换包括基本信息、合伙人、执行事务合伙人在内的登记关键数据，实现"一键式"数据迁移与回填，显著减少重复录入，保障数据准确一致。</w:t>
            </w:r>
          </w:p>
        </w:tc>
        <w:tc>
          <w:tcPr>
            <w:tcW w:w="1418" w:type="dxa"/>
            <w:vMerge w:val="continue"/>
            <w:tcBorders>
              <w:top w:val="nil"/>
              <w:left w:val="single" w:color="auto" w:sz="4" w:space="0"/>
              <w:bottom w:val="single" w:color="000000" w:sz="4" w:space="0"/>
              <w:right w:val="double" w:color="auto" w:sz="4" w:space="0"/>
            </w:tcBorders>
            <w:vAlign w:val="center"/>
          </w:tcPr>
          <w:p w14:paraId="1B0BC4A2">
            <w:pPr>
              <w:widowControl/>
              <w:jc w:val="left"/>
              <w:rPr>
                <w:rFonts w:ascii="宋体" w:hAnsi="宋体" w:cs="宋体"/>
                <w:kern w:val="0"/>
                <w:sz w:val="21"/>
                <w:szCs w:val="21"/>
              </w:rPr>
            </w:pPr>
          </w:p>
        </w:tc>
      </w:tr>
      <w:tr w14:paraId="34D432FD">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6C899486">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6AF229D9">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ADAD108">
            <w:pPr>
              <w:widowControl/>
              <w:jc w:val="left"/>
              <w:rPr>
                <w:rFonts w:ascii="宋体" w:hAnsi="宋体" w:cs="宋体"/>
                <w:kern w:val="0"/>
                <w:sz w:val="21"/>
                <w:szCs w:val="21"/>
              </w:rPr>
            </w:pPr>
            <w:r>
              <w:rPr>
                <w:rFonts w:hint="eastAsia" w:ascii="宋体" w:hAnsi="宋体" w:cs="宋体"/>
                <w:kern w:val="0"/>
                <w:sz w:val="21"/>
                <w:szCs w:val="21"/>
              </w:rPr>
              <w:t>提供标准化的申请文书配置服务，保障个人独资企业转型业务顺畅高效，按需配置转型所需的材料清单，配备智能表格模板与数据接口，实现申请文件的自动生成与信息回填，有效简化材料准备流程，降低填报错误率，提升申请质量与业务协同效率。</w:t>
            </w:r>
          </w:p>
        </w:tc>
        <w:tc>
          <w:tcPr>
            <w:tcW w:w="1418" w:type="dxa"/>
            <w:vMerge w:val="continue"/>
            <w:tcBorders>
              <w:top w:val="nil"/>
              <w:left w:val="single" w:color="auto" w:sz="4" w:space="0"/>
              <w:bottom w:val="single" w:color="000000" w:sz="4" w:space="0"/>
              <w:right w:val="double" w:color="auto" w:sz="4" w:space="0"/>
            </w:tcBorders>
            <w:vAlign w:val="center"/>
          </w:tcPr>
          <w:p w14:paraId="6A507781">
            <w:pPr>
              <w:widowControl/>
              <w:jc w:val="left"/>
              <w:rPr>
                <w:rFonts w:ascii="宋体" w:hAnsi="宋体" w:cs="宋体"/>
                <w:kern w:val="0"/>
                <w:sz w:val="21"/>
                <w:szCs w:val="21"/>
              </w:rPr>
            </w:pPr>
          </w:p>
        </w:tc>
      </w:tr>
      <w:tr w14:paraId="75EBAD11">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2FB6F29D">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2522CE5C">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5929E997">
            <w:pPr>
              <w:widowControl/>
              <w:jc w:val="left"/>
              <w:rPr>
                <w:rFonts w:ascii="宋体" w:hAnsi="宋体" w:cs="宋体"/>
                <w:kern w:val="0"/>
                <w:sz w:val="21"/>
                <w:szCs w:val="21"/>
              </w:rPr>
            </w:pPr>
            <w:r>
              <w:rPr>
                <w:rFonts w:hint="eastAsia" w:ascii="宋体" w:hAnsi="宋体" w:cs="宋体"/>
                <w:kern w:val="0"/>
                <w:sz w:val="21"/>
                <w:szCs w:val="21"/>
              </w:rPr>
              <w:t>提供标准化的审批文书配置服务，保障转型业务审批环节顺畅高效，可根据业务需要配置审批文书清单，依托智能模板与数据接口，实现审批文书的自动生成与数据回填，解决传统审批准备繁琐、易错的问题，提升审批效率与业务系统衔接水平。</w:t>
            </w:r>
          </w:p>
        </w:tc>
        <w:tc>
          <w:tcPr>
            <w:tcW w:w="1418" w:type="dxa"/>
            <w:vMerge w:val="continue"/>
            <w:tcBorders>
              <w:top w:val="nil"/>
              <w:left w:val="single" w:color="auto" w:sz="4" w:space="0"/>
              <w:bottom w:val="single" w:color="000000" w:sz="4" w:space="0"/>
              <w:right w:val="double" w:color="auto" w:sz="4" w:space="0"/>
            </w:tcBorders>
            <w:vAlign w:val="center"/>
          </w:tcPr>
          <w:p w14:paraId="100B5255">
            <w:pPr>
              <w:widowControl/>
              <w:jc w:val="left"/>
              <w:rPr>
                <w:rFonts w:ascii="宋体" w:hAnsi="宋体" w:cs="宋体"/>
                <w:kern w:val="0"/>
                <w:sz w:val="21"/>
                <w:szCs w:val="21"/>
              </w:rPr>
            </w:pPr>
          </w:p>
        </w:tc>
      </w:tr>
      <w:tr w14:paraId="1CA89B68">
        <w:tblPrEx>
          <w:tblCellMar>
            <w:top w:w="0" w:type="dxa"/>
            <w:left w:w="108" w:type="dxa"/>
            <w:bottom w:w="0" w:type="dxa"/>
            <w:right w:w="108" w:type="dxa"/>
          </w:tblCellMar>
        </w:tblPrEx>
        <w:trPr>
          <w:trHeight w:val="56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45A61580">
            <w:pPr>
              <w:widowControl/>
              <w:jc w:val="center"/>
              <w:rPr>
                <w:rFonts w:ascii="宋体" w:hAnsi="宋体" w:cs="宋体"/>
                <w:kern w:val="0"/>
                <w:sz w:val="21"/>
                <w:szCs w:val="21"/>
              </w:rPr>
            </w:pPr>
            <w:r>
              <w:rPr>
                <w:rFonts w:ascii="宋体" w:hAnsi="宋体" w:cs="宋体"/>
                <w:kern w:val="0"/>
                <w:sz w:val="21"/>
                <w:szCs w:val="21"/>
              </w:rPr>
              <w:t>7</w:t>
            </w:r>
          </w:p>
        </w:tc>
        <w:tc>
          <w:tcPr>
            <w:tcW w:w="198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61D3A6F2">
            <w:pPr>
              <w:widowControl/>
              <w:jc w:val="left"/>
              <w:rPr>
                <w:rFonts w:ascii="宋体" w:hAnsi="宋体" w:cs="宋体"/>
                <w:kern w:val="0"/>
                <w:sz w:val="21"/>
                <w:szCs w:val="21"/>
              </w:rPr>
            </w:pPr>
            <w:r>
              <w:rPr>
                <w:rFonts w:hint="eastAsia" w:ascii="宋体" w:hAnsi="宋体" w:cs="宋体"/>
                <w:kern w:val="0"/>
                <w:sz w:val="21"/>
                <w:szCs w:val="21"/>
              </w:rPr>
              <w:t>数据汇聚与共享服务</w:t>
            </w:r>
          </w:p>
        </w:tc>
        <w:tc>
          <w:tcPr>
            <w:tcW w:w="3969" w:type="dxa"/>
            <w:tcBorders>
              <w:top w:val="nil"/>
              <w:left w:val="nil"/>
              <w:bottom w:val="single" w:color="auto" w:sz="4" w:space="0"/>
              <w:right w:val="single" w:color="auto" w:sz="4" w:space="0"/>
            </w:tcBorders>
            <w:shd w:val="clear" w:color="auto" w:fill="auto"/>
            <w:vAlign w:val="center"/>
          </w:tcPr>
          <w:p w14:paraId="1A43C3CC">
            <w:pPr>
              <w:widowControl/>
              <w:jc w:val="left"/>
              <w:rPr>
                <w:rFonts w:ascii="宋体" w:hAnsi="宋体" w:cs="宋体"/>
                <w:kern w:val="0"/>
                <w:sz w:val="21"/>
                <w:szCs w:val="21"/>
              </w:rPr>
            </w:pPr>
            <w:r>
              <w:rPr>
                <w:rFonts w:hint="eastAsia" w:ascii="宋体" w:hAnsi="宋体" w:cs="宋体"/>
                <w:kern w:val="0"/>
                <w:sz w:val="21"/>
                <w:szCs w:val="21"/>
              </w:rPr>
              <w:t>提供与福建省网上办事大厅系统的数据对接服务，推送省级转型业务办件数据，支持跨系统数据共享与业务协同。</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206FFED3">
            <w:pPr>
              <w:widowControl/>
              <w:jc w:val="center"/>
              <w:rPr>
                <w:rFonts w:ascii="宋体" w:hAnsi="宋体" w:cs="宋体"/>
                <w:kern w:val="0"/>
                <w:sz w:val="21"/>
                <w:szCs w:val="21"/>
              </w:rPr>
            </w:pPr>
          </w:p>
        </w:tc>
      </w:tr>
      <w:tr w14:paraId="24DE792E">
        <w:tblPrEx>
          <w:tblCellMar>
            <w:top w:w="0" w:type="dxa"/>
            <w:left w:w="108" w:type="dxa"/>
            <w:bottom w:w="0" w:type="dxa"/>
            <w:right w:w="108" w:type="dxa"/>
          </w:tblCellMar>
        </w:tblPrEx>
        <w:trPr>
          <w:trHeight w:val="280" w:hRule="atLeast"/>
        </w:trPr>
        <w:tc>
          <w:tcPr>
            <w:tcW w:w="841" w:type="dxa"/>
            <w:vMerge w:val="continue"/>
            <w:tcBorders>
              <w:top w:val="nil"/>
              <w:left w:val="double" w:color="auto" w:sz="4" w:space="0"/>
              <w:bottom w:val="single" w:color="000000" w:sz="4" w:space="0"/>
              <w:right w:val="single" w:color="auto" w:sz="4" w:space="0"/>
            </w:tcBorders>
            <w:vAlign w:val="center"/>
          </w:tcPr>
          <w:p w14:paraId="72D63425">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000000" w:sz="4" w:space="0"/>
              <w:right w:val="single" w:color="auto" w:sz="4" w:space="0"/>
            </w:tcBorders>
            <w:vAlign w:val="center"/>
          </w:tcPr>
          <w:p w14:paraId="2F79A3A5">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6173B593">
            <w:pPr>
              <w:widowControl/>
              <w:jc w:val="left"/>
              <w:rPr>
                <w:rFonts w:ascii="宋体" w:hAnsi="宋体" w:cs="宋体"/>
                <w:kern w:val="0"/>
                <w:sz w:val="21"/>
                <w:szCs w:val="21"/>
              </w:rPr>
            </w:pPr>
            <w:r>
              <w:rPr>
                <w:rFonts w:hint="eastAsia" w:ascii="宋体" w:hAnsi="宋体" w:cs="宋体"/>
                <w:kern w:val="0"/>
                <w:sz w:val="21"/>
                <w:szCs w:val="21"/>
              </w:rPr>
              <w:t>提供与福建省政务服务总线平台的数据对接服务，推送地市转型业务办件数据，实现省地数据联动。</w:t>
            </w:r>
          </w:p>
        </w:tc>
        <w:tc>
          <w:tcPr>
            <w:tcW w:w="1418" w:type="dxa"/>
            <w:vMerge w:val="continue"/>
            <w:tcBorders>
              <w:top w:val="nil"/>
              <w:left w:val="single" w:color="auto" w:sz="4" w:space="0"/>
              <w:bottom w:val="single" w:color="000000" w:sz="4" w:space="0"/>
              <w:right w:val="double" w:color="auto" w:sz="4" w:space="0"/>
            </w:tcBorders>
            <w:vAlign w:val="center"/>
          </w:tcPr>
          <w:p w14:paraId="10CDFAAD">
            <w:pPr>
              <w:widowControl/>
              <w:jc w:val="left"/>
              <w:rPr>
                <w:rFonts w:ascii="宋体" w:hAnsi="宋体" w:cs="宋体"/>
                <w:kern w:val="0"/>
                <w:sz w:val="21"/>
                <w:szCs w:val="21"/>
              </w:rPr>
            </w:pPr>
          </w:p>
        </w:tc>
      </w:tr>
      <w:tr w14:paraId="34E7C2B9">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01EDD870">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000000" w:sz="4" w:space="0"/>
              <w:right w:val="single" w:color="auto" w:sz="4" w:space="0"/>
            </w:tcBorders>
            <w:vAlign w:val="center"/>
          </w:tcPr>
          <w:p w14:paraId="02D6F39A">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7447565">
            <w:pPr>
              <w:widowControl/>
              <w:jc w:val="left"/>
              <w:rPr>
                <w:rFonts w:ascii="宋体" w:hAnsi="宋体" w:cs="宋体"/>
                <w:kern w:val="0"/>
                <w:sz w:val="21"/>
                <w:szCs w:val="21"/>
              </w:rPr>
            </w:pPr>
            <w:r>
              <w:rPr>
                <w:rFonts w:hint="eastAsia" w:ascii="宋体" w:hAnsi="宋体" w:cs="宋体"/>
                <w:kern w:val="0"/>
                <w:sz w:val="21"/>
                <w:szCs w:val="21"/>
              </w:rPr>
              <w:t>提供与福建省统一收件平台的数据对接服务，获取统一收件码并推送办件数据，提升业务办理透明度。</w:t>
            </w:r>
          </w:p>
        </w:tc>
        <w:tc>
          <w:tcPr>
            <w:tcW w:w="1418" w:type="dxa"/>
            <w:vMerge w:val="continue"/>
            <w:tcBorders>
              <w:top w:val="nil"/>
              <w:left w:val="single" w:color="auto" w:sz="4" w:space="0"/>
              <w:bottom w:val="single" w:color="000000" w:sz="4" w:space="0"/>
              <w:right w:val="double" w:color="auto" w:sz="4" w:space="0"/>
            </w:tcBorders>
            <w:vAlign w:val="center"/>
          </w:tcPr>
          <w:p w14:paraId="5D1E77E9">
            <w:pPr>
              <w:widowControl/>
              <w:jc w:val="left"/>
              <w:rPr>
                <w:rFonts w:ascii="宋体" w:hAnsi="宋体" w:cs="宋体"/>
                <w:kern w:val="0"/>
                <w:sz w:val="21"/>
                <w:szCs w:val="21"/>
              </w:rPr>
            </w:pPr>
          </w:p>
        </w:tc>
      </w:tr>
      <w:tr w14:paraId="2C0D568F">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1C9E51DD">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000000" w:sz="4" w:space="0"/>
              <w:right w:val="single" w:color="auto" w:sz="4" w:space="0"/>
            </w:tcBorders>
            <w:vAlign w:val="center"/>
          </w:tcPr>
          <w:p w14:paraId="7A3C6B50">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5648D3B6">
            <w:pPr>
              <w:widowControl/>
              <w:jc w:val="left"/>
              <w:rPr>
                <w:rFonts w:ascii="宋体" w:hAnsi="宋体" w:cs="宋体"/>
                <w:kern w:val="0"/>
                <w:sz w:val="21"/>
                <w:szCs w:val="21"/>
              </w:rPr>
            </w:pPr>
            <w:r>
              <w:rPr>
                <w:rFonts w:hint="eastAsia" w:ascii="宋体" w:hAnsi="宋体" w:cs="宋体"/>
                <w:kern w:val="0"/>
                <w:sz w:val="21"/>
                <w:szCs w:val="21"/>
              </w:rPr>
              <w:t>提供与福建省政务数据汇聚共享平台的数据对接服务，推送企业登记与变更数据，支持跨部门数据共享与应用。</w:t>
            </w:r>
          </w:p>
        </w:tc>
        <w:tc>
          <w:tcPr>
            <w:tcW w:w="1418" w:type="dxa"/>
            <w:vMerge w:val="continue"/>
            <w:tcBorders>
              <w:top w:val="nil"/>
              <w:left w:val="single" w:color="auto" w:sz="4" w:space="0"/>
              <w:bottom w:val="single" w:color="000000" w:sz="4" w:space="0"/>
              <w:right w:val="double" w:color="auto" w:sz="4" w:space="0"/>
            </w:tcBorders>
            <w:vAlign w:val="center"/>
          </w:tcPr>
          <w:p w14:paraId="3D360930">
            <w:pPr>
              <w:widowControl/>
              <w:jc w:val="left"/>
              <w:rPr>
                <w:rFonts w:ascii="宋体" w:hAnsi="宋体" w:cs="宋体"/>
                <w:kern w:val="0"/>
                <w:sz w:val="21"/>
                <w:szCs w:val="21"/>
              </w:rPr>
            </w:pPr>
          </w:p>
        </w:tc>
      </w:tr>
      <w:tr w14:paraId="02EC866F">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5E427FE2">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000000" w:sz="4" w:space="0"/>
              <w:right w:val="single" w:color="auto" w:sz="4" w:space="0"/>
            </w:tcBorders>
            <w:vAlign w:val="center"/>
          </w:tcPr>
          <w:p w14:paraId="00F19879">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65D7F4A4">
            <w:pPr>
              <w:widowControl/>
              <w:jc w:val="left"/>
              <w:rPr>
                <w:rFonts w:ascii="宋体" w:hAnsi="宋体" w:cs="宋体"/>
                <w:kern w:val="0"/>
                <w:sz w:val="21"/>
                <w:szCs w:val="21"/>
              </w:rPr>
            </w:pPr>
            <w:r>
              <w:rPr>
                <w:rFonts w:hint="eastAsia" w:ascii="宋体" w:hAnsi="宋体" w:cs="宋体"/>
                <w:kern w:val="0"/>
                <w:sz w:val="21"/>
                <w:szCs w:val="21"/>
              </w:rPr>
              <w:t>提供与福建省“一照一码”数据共享平台的数据对接服务，推送企业登记与变更信息，拓展“一照一码”应用场景。</w:t>
            </w:r>
          </w:p>
        </w:tc>
        <w:tc>
          <w:tcPr>
            <w:tcW w:w="1418" w:type="dxa"/>
            <w:vMerge w:val="continue"/>
            <w:tcBorders>
              <w:top w:val="nil"/>
              <w:left w:val="single" w:color="auto" w:sz="4" w:space="0"/>
              <w:bottom w:val="single" w:color="000000" w:sz="4" w:space="0"/>
              <w:right w:val="double" w:color="auto" w:sz="4" w:space="0"/>
            </w:tcBorders>
            <w:vAlign w:val="center"/>
          </w:tcPr>
          <w:p w14:paraId="20BBB87D">
            <w:pPr>
              <w:widowControl/>
              <w:jc w:val="left"/>
              <w:rPr>
                <w:rFonts w:ascii="宋体" w:hAnsi="宋体" w:cs="宋体"/>
                <w:kern w:val="0"/>
                <w:sz w:val="21"/>
                <w:szCs w:val="21"/>
              </w:rPr>
            </w:pPr>
          </w:p>
        </w:tc>
      </w:tr>
      <w:tr w14:paraId="326FAA4F">
        <w:tblPrEx>
          <w:tblCellMar>
            <w:top w:w="0" w:type="dxa"/>
            <w:left w:w="108" w:type="dxa"/>
            <w:bottom w:w="0" w:type="dxa"/>
            <w:right w:w="108" w:type="dxa"/>
          </w:tblCellMar>
        </w:tblPrEx>
        <w:trPr>
          <w:trHeight w:val="280" w:hRule="atLeast"/>
        </w:trPr>
        <w:tc>
          <w:tcPr>
            <w:tcW w:w="841" w:type="dxa"/>
            <w:vMerge w:val="continue"/>
            <w:tcBorders>
              <w:top w:val="nil"/>
              <w:left w:val="double" w:color="auto" w:sz="4" w:space="0"/>
              <w:bottom w:val="single" w:color="000000" w:sz="4" w:space="0"/>
              <w:right w:val="single" w:color="auto" w:sz="4" w:space="0"/>
            </w:tcBorders>
            <w:vAlign w:val="center"/>
          </w:tcPr>
          <w:p w14:paraId="3BBC7E66">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000000" w:sz="4" w:space="0"/>
              <w:right w:val="single" w:color="auto" w:sz="4" w:space="0"/>
            </w:tcBorders>
            <w:vAlign w:val="center"/>
          </w:tcPr>
          <w:p w14:paraId="47275E94">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6695979C">
            <w:pPr>
              <w:widowControl/>
              <w:jc w:val="left"/>
              <w:rPr>
                <w:rFonts w:ascii="宋体" w:hAnsi="宋体" w:cs="宋体"/>
                <w:kern w:val="0"/>
                <w:sz w:val="21"/>
                <w:szCs w:val="21"/>
              </w:rPr>
            </w:pPr>
            <w:r>
              <w:rPr>
                <w:rFonts w:hint="eastAsia" w:ascii="宋体" w:hAnsi="宋体" w:cs="宋体"/>
                <w:kern w:val="0"/>
                <w:sz w:val="21"/>
                <w:szCs w:val="21"/>
              </w:rPr>
              <w:t>提供与福建省电子证照平台的数据对接服务，完成电子证照实时生成与更新，提升应用便捷度。</w:t>
            </w:r>
          </w:p>
        </w:tc>
        <w:tc>
          <w:tcPr>
            <w:tcW w:w="1418" w:type="dxa"/>
            <w:vMerge w:val="continue"/>
            <w:tcBorders>
              <w:top w:val="nil"/>
              <w:left w:val="single" w:color="auto" w:sz="4" w:space="0"/>
              <w:bottom w:val="single" w:color="000000" w:sz="4" w:space="0"/>
              <w:right w:val="double" w:color="auto" w:sz="4" w:space="0"/>
            </w:tcBorders>
            <w:vAlign w:val="center"/>
          </w:tcPr>
          <w:p w14:paraId="6DB580C5">
            <w:pPr>
              <w:widowControl/>
              <w:jc w:val="left"/>
              <w:rPr>
                <w:rFonts w:ascii="宋体" w:hAnsi="宋体" w:cs="宋体"/>
                <w:kern w:val="0"/>
                <w:sz w:val="21"/>
                <w:szCs w:val="21"/>
              </w:rPr>
            </w:pPr>
          </w:p>
        </w:tc>
      </w:tr>
      <w:tr w14:paraId="365FE616">
        <w:tblPrEx>
          <w:tblCellMar>
            <w:top w:w="0" w:type="dxa"/>
            <w:left w:w="108" w:type="dxa"/>
            <w:bottom w:w="0" w:type="dxa"/>
            <w:right w:w="108" w:type="dxa"/>
          </w:tblCellMar>
        </w:tblPrEx>
        <w:trPr>
          <w:trHeight w:val="280" w:hRule="atLeast"/>
        </w:trPr>
        <w:tc>
          <w:tcPr>
            <w:tcW w:w="841" w:type="dxa"/>
            <w:vMerge w:val="continue"/>
            <w:tcBorders>
              <w:top w:val="nil"/>
              <w:left w:val="double" w:color="auto" w:sz="4" w:space="0"/>
              <w:bottom w:val="single" w:color="000000" w:sz="4" w:space="0"/>
              <w:right w:val="single" w:color="auto" w:sz="4" w:space="0"/>
            </w:tcBorders>
            <w:vAlign w:val="center"/>
          </w:tcPr>
          <w:p w14:paraId="6AB2CEF3">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000000" w:sz="4" w:space="0"/>
              <w:right w:val="single" w:color="auto" w:sz="4" w:space="0"/>
            </w:tcBorders>
            <w:vAlign w:val="center"/>
          </w:tcPr>
          <w:p w14:paraId="618BA1FD">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66C8218F">
            <w:pPr>
              <w:widowControl/>
              <w:jc w:val="left"/>
              <w:rPr>
                <w:rFonts w:ascii="宋体" w:hAnsi="宋体" w:cs="宋体"/>
                <w:kern w:val="0"/>
                <w:sz w:val="21"/>
                <w:szCs w:val="21"/>
              </w:rPr>
            </w:pPr>
            <w:r>
              <w:rPr>
                <w:rFonts w:hint="eastAsia" w:ascii="宋体" w:hAnsi="宋体" w:cs="宋体"/>
                <w:kern w:val="0"/>
                <w:sz w:val="21"/>
                <w:szCs w:val="21"/>
              </w:rPr>
              <w:t>提供与市场监管总局电子营业执照平台的数据对接服务，支持电子营业执照信息实时同步与更新。</w:t>
            </w:r>
          </w:p>
        </w:tc>
        <w:tc>
          <w:tcPr>
            <w:tcW w:w="1418" w:type="dxa"/>
            <w:vMerge w:val="continue"/>
            <w:tcBorders>
              <w:top w:val="nil"/>
              <w:left w:val="single" w:color="auto" w:sz="4" w:space="0"/>
              <w:bottom w:val="single" w:color="000000" w:sz="4" w:space="0"/>
              <w:right w:val="double" w:color="auto" w:sz="4" w:space="0"/>
            </w:tcBorders>
            <w:vAlign w:val="center"/>
          </w:tcPr>
          <w:p w14:paraId="4CDD21D9">
            <w:pPr>
              <w:widowControl/>
              <w:jc w:val="left"/>
              <w:rPr>
                <w:rFonts w:ascii="宋体" w:hAnsi="宋体" w:cs="宋体"/>
                <w:kern w:val="0"/>
                <w:sz w:val="21"/>
                <w:szCs w:val="21"/>
              </w:rPr>
            </w:pPr>
          </w:p>
        </w:tc>
      </w:tr>
      <w:tr w14:paraId="12AA6D53">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3396CA30">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000000" w:sz="4" w:space="0"/>
              <w:right w:val="single" w:color="auto" w:sz="4" w:space="0"/>
            </w:tcBorders>
            <w:vAlign w:val="center"/>
          </w:tcPr>
          <w:p w14:paraId="7A234C4C">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202E5F2">
            <w:pPr>
              <w:widowControl/>
              <w:jc w:val="left"/>
              <w:rPr>
                <w:rFonts w:ascii="宋体" w:hAnsi="宋体" w:cs="宋体"/>
                <w:kern w:val="0"/>
                <w:sz w:val="21"/>
                <w:szCs w:val="21"/>
              </w:rPr>
            </w:pPr>
            <w:r>
              <w:rPr>
                <w:rFonts w:hint="eastAsia" w:ascii="宋体" w:hAnsi="宋体" w:cs="宋体"/>
                <w:kern w:val="0"/>
                <w:sz w:val="21"/>
                <w:szCs w:val="21"/>
              </w:rPr>
              <w:t>提供与市场监管总局数据中心的数据对接服务，实现国家与地方数据的双向贯通，支持全国市场主体数据统一管理。</w:t>
            </w:r>
          </w:p>
        </w:tc>
        <w:tc>
          <w:tcPr>
            <w:tcW w:w="1418" w:type="dxa"/>
            <w:vMerge w:val="continue"/>
            <w:tcBorders>
              <w:top w:val="nil"/>
              <w:left w:val="single" w:color="auto" w:sz="4" w:space="0"/>
              <w:bottom w:val="single" w:color="000000" w:sz="4" w:space="0"/>
              <w:right w:val="double" w:color="auto" w:sz="4" w:space="0"/>
            </w:tcBorders>
            <w:vAlign w:val="center"/>
          </w:tcPr>
          <w:p w14:paraId="05030E87">
            <w:pPr>
              <w:widowControl/>
              <w:jc w:val="left"/>
              <w:rPr>
                <w:rFonts w:ascii="宋体" w:hAnsi="宋体" w:cs="宋体"/>
                <w:kern w:val="0"/>
                <w:sz w:val="21"/>
                <w:szCs w:val="21"/>
              </w:rPr>
            </w:pPr>
          </w:p>
        </w:tc>
      </w:tr>
      <w:tr w14:paraId="45FF8926">
        <w:tblPrEx>
          <w:tblCellMar>
            <w:top w:w="0" w:type="dxa"/>
            <w:left w:w="108" w:type="dxa"/>
            <w:bottom w:w="0" w:type="dxa"/>
            <w:right w:w="108" w:type="dxa"/>
          </w:tblCellMar>
        </w:tblPrEx>
        <w:trPr>
          <w:trHeight w:val="280" w:hRule="atLeast"/>
        </w:trPr>
        <w:tc>
          <w:tcPr>
            <w:tcW w:w="6794" w:type="dxa"/>
            <w:gridSpan w:val="3"/>
            <w:tcBorders>
              <w:top w:val="single" w:color="auto" w:sz="4" w:space="0"/>
              <w:left w:val="double" w:color="auto" w:sz="4" w:space="0"/>
              <w:bottom w:val="double" w:color="auto" w:sz="4" w:space="0"/>
              <w:right w:val="single" w:color="auto" w:sz="4" w:space="0"/>
            </w:tcBorders>
            <w:shd w:val="clear" w:color="000000" w:fill="D9D9D9"/>
            <w:noWrap/>
            <w:vAlign w:val="center"/>
          </w:tcPr>
          <w:p w14:paraId="43EAF132">
            <w:pPr>
              <w:widowControl/>
              <w:jc w:val="center"/>
              <w:rPr>
                <w:rFonts w:ascii="宋体" w:hAnsi="宋体" w:cs="宋体"/>
                <w:b/>
                <w:bCs/>
                <w:kern w:val="0"/>
                <w:sz w:val="21"/>
                <w:szCs w:val="21"/>
              </w:rPr>
            </w:pPr>
            <w:r>
              <w:rPr>
                <w:rFonts w:hint="eastAsia" w:ascii="宋体" w:hAnsi="宋体" w:cs="宋体"/>
                <w:b/>
                <w:bCs/>
                <w:kern w:val="0"/>
                <w:sz w:val="21"/>
                <w:szCs w:val="21"/>
              </w:rPr>
              <w:t>合计</w:t>
            </w:r>
          </w:p>
        </w:tc>
        <w:tc>
          <w:tcPr>
            <w:tcW w:w="1418" w:type="dxa"/>
            <w:tcBorders>
              <w:top w:val="nil"/>
              <w:left w:val="nil"/>
              <w:bottom w:val="double" w:color="auto" w:sz="4" w:space="0"/>
              <w:right w:val="double" w:color="auto" w:sz="4" w:space="0"/>
            </w:tcBorders>
            <w:shd w:val="clear" w:color="auto" w:fill="auto"/>
            <w:noWrap/>
            <w:vAlign w:val="center"/>
          </w:tcPr>
          <w:p w14:paraId="3BA681F7">
            <w:pPr>
              <w:widowControl/>
              <w:jc w:val="center"/>
              <w:rPr>
                <w:rFonts w:ascii="宋体" w:hAnsi="宋体" w:cs="宋体"/>
                <w:b/>
                <w:bCs/>
                <w:kern w:val="0"/>
                <w:sz w:val="21"/>
                <w:szCs w:val="21"/>
              </w:rPr>
            </w:pPr>
          </w:p>
        </w:tc>
      </w:tr>
    </w:tbl>
    <w:p w14:paraId="5302ACB4">
      <w:pPr>
        <w:pStyle w:val="3"/>
        <w:numPr>
          <w:ilvl w:val="1"/>
          <w:numId w:val="2"/>
        </w:numPr>
        <w:ind w:left="0" w:firstLine="0"/>
        <w:rPr>
          <w:rStyle w:val="12"/>
          <w:b w:val="0"/>
          <w:bCs w:val="0"/>
        </w:rPr>
      </w:pPr>
      <w:r>
        <w:rPr>
          <w:rStyle w:val="12"/>
          <w:rFonts w:hint="eastAsia"/>
          <w:b w:val="0"/>
          <w:bCs w:val="0"/>
        </w:rPr>
        <w:t>“市场监管部门迁移清册”服务提升预算表</w:t>
      </w:r>
    </w:p>
    <w:tbl>
      <w:tblPr>
        <w:tblStyle w:val="8"/>
        <w:tblW w:w="8212" w:type="dxa"/>
        <w:tblInd w:w="-5" w:type="dxa"/>
        <w:tblLayout w:type="autofit"/>
        <w:tblCellMar>
          <w:top w:w="0" w:type="dxa"/>
          <w:left w:w="108" w:type="dxa"/>
          <w:bottom w:w="0" w:type="dxa"/>
          <w:right w:w="108" w:type="dxa"/>
        </w:tblCellMar>
      </w:tblPr>
      <w:tblGrid>
        <w:gridCol w:w="841"/>
        <w:gridCol w:w="1984"/>
        <w:gridCol w:w="3969"/>
        <w:gridCol w:w="1418"/>
      </w:tblGrid>
      <w:tr w14:paraId="4B999DC5">
        <w:tblPrEx>
          <w:tblCellMar>
            <w:top w:w="0" w:type="dxa"/>
            <w:left w:w="108" w:type="dxa"/>
            <w:bottom w:w="0" w:type="dxa"/>
            <w:right w:w="108" w:type="dxa"/>
          </w:tblCellMar>
        </w:tblPrEx>
        <w:trPr>
          <w:trHeight w:val="730" w:hRule="atLeast"/>
          <w:tblHeader/>
        </w:trPr>
        <w:tc>
          <w:tcPr>
            <w:tcW w:w="841" w:type="dxa"/>
            <w:tcBorders>
              <w:top w:val="double" w:color="auto" w:sz="4" w:space="0"/>
              <w:left w:val="double" w:color="auto" w:sz="4" w:space="0"/>
              <w:bottom w:val="single" w:color="auto" w:sz="4" w:space="0"/>
              <w:right w:val="single" w:color="auto" w:sz="4" w:space="0"/>
            </w:tcBorders>
            <w:shd w:val="clear" w:color="000000" w:fill="D9D9D9"/>
            <w:noWrap/>
            <w:vAlign w:val="center"/>
          </w:tcPr>
          <w:p w14:paraId="0FA5A538">
            <w:pPr>
              <w:widowControl/>
              <w:jc w:val="center"/>
              <w:rPr>
                <w:rFonts w:ascii="宋体" w:hAnsi="宋体" w:cs="宋体"/>
                <w:b/>
                <w:bCs/>
                <w:kern w:val="0"/>
                <w:sz w:val="21"/>
                <w:szCs w:val="21"/>
              </w:rPr>
            </w:pPr>
            <w:r>
              <w:rPr>
                <w:rFonts w:hint="eastAsia" w:ascii="宋体" w:hAnsi="宋体" w:cs="宋体"/>
                <w:b/>
                <w:bCs/>
                <w:kern w:val="0"/>
                <w:sz w:val="21"/>
                <w:szCs w:val="21"/>
              </w:rPr>
              <w:t>编号</w:t>
            </w:r>
          </w:p>
        </w:tc>
        <w:tc>
          <w:tcPr>
            <w:tcW w:w="1984" w:type="dxa"/>
            <w:tcBorders>
              <w:top w:val="double" w:color="auto" w:sz="4" w:space="0"/>
              <w:left w:val="nil"/>
              <w:bottom w:val="single" w:color="auto" w:sz="4" w:space="0"/>
              <w:right w:val="single" w:color="auto" w:sz="4" w:space="0"/>
            </w:tcBorders>
            <w:shd w:val="clear" w:color="000000" w:fill="D9D9D9"/>
            <w:vAlign w:val="center"/>
          </w:tcPr>
          <w:p w14:paraId="087B47EB">
            <w:pPr>
              <w:widowControl/>
              <w:jc w:val="center"/>
              <w:rPr>
                <w:rFonts w:ascii="宋体" w:hAnsi="宋体" w:cs="宋体"/>
                <w:b/>
                <w:bCs/>
                <w:kern w:val="0"/>
                <w:sz w:val="21"/>
                <w:szCs w:val="21"/>
              </w:rPr>
            </w:pPr>
            <w:r>
              <w:rPr>
                <w:rFonts w:hint="eastAsia" w:ascii="宋体" w:hAnsi="宋体" w:cs="宋体"/>
                <w:b/>
                <w:bCs/>
                <w:kern w:val="0"/>
                <w:sz w:val="21"/>
                <w:szCs w:val="21"/>
              </w:rPr>
              <w:t>项目名称</w:t>
            </w:r>
          </w:p>
        </w:tc>
        <w:tc>
          <w:tcPr>
            <w:tcW w:w="3969" w:type="dxa"/>
            <w:tcBorders>
              <w:top w:val="double" w:color="auto" w:sz="4" w:space="0"/>
              <w:left w:val="nil"/>
              <w:bottom w:val="single" w:color="auto" w:sz="4" w:space="0"/>
              <w:right w:val="single" w:color="auto" w:sz="4" w:space="0"/>
            </w:tcBorders>
            <w:shd w:val="clear" w:color="000000" w:fill="D9D9D9"/>
            <w:vAlign w:val="center"/>
          </w:tcPr>
          <w:p w14:paraId="2D6EA799">
            <w:pPr>
              <w:widowControl/>
              <w:jc w:val="center"/>
              <w:rPr>
                <w:rFonts w:ascii="宋体" w:hAnsi="宋体" w:cs="宋体"/>
                <w:b/>
                <w:bCs/>
                <w:kern w:val="0"/>
                <w:sz w:val="21"/>
                <w:szCs w:val="21"/>
              </w:rPr>
            </w:pPr>
            <w:r>
              <w:rPr>
                <w:rFonts w:hint="eastAsia" w:ascii="宋体" w:hAnsi="宋体" w:cs="宋体"/>
                <w:b/>
                <w:bCs/>
                <w:kern w:val="0"/>
                <w:sz w:val="21"/>
                <w:szCs w:val="21"/>
              </w:rPr>
              <w:t>服务需求及说明</w:t>
            </w:r>
          </w:p>
        </w:tc>
        <w:tc>
          <w:tcPr>
            <w:tcW w:w="1418" w:type="dxa"/>
            <w:tcBorders>
              <w:top w:val="double" w:color="auto" w:sz="4" w:space="0"/>
              <w:left w:val="nil"/>
              <w:bottom w:val="single" w:color="auto" w:sz="4" w:space="0"/>
              <w:right w:val="double" w:color="auto" w:sz="4" w:space="0"/>
            </w:tcBorders>
            <w:shd w:val="clear" w:color="000000" w:fill="D9D9D9"/>
            <w:vAlign w:val="center"/>
          </w:tcPr>
          <w:p w14:paraId="5678FB78">
            <w:pPr>
              <w:widowControl/>
              <w:jc w:val="center"/>
              <w:rPr>
                <w:rFonts w:ascii="宋体" w:hAnsi="宋体" w:cs="宋体"/>
                <w:b/>
                <w:bCs/>
                <w:kern w:val="0"/>
                <w:sz w:val="21"/>
                <w:szCs w:val="21"/>
              </w:rPr>
            </w:pPr>
            <w:r>
              <w:rPr>
                <w:rFonts w:hint="eastAsia" w:ascii="宋体" w:hAnsi="宋体" w:cs="宋体"/>
                <w:b/>
                <w:bCs/>
                <w:kern w:val="0"/>
                <w:sz w:val="21"/>
                <w:szCs w:val="21"/>
              </w:rPr>
              <w:t>金额</w:t>
            </w:r>
            <w:r>
              <w:rPr>
                <w:rFonts w:hint="eastAsia" w:ascii="宋体" w:hAnsi="宋体" w:cs="宋体"/>
                <w:b/>
                <w:bCs/>
                <w:kern w:val="0"/>
                <w:sz w:val="21"/>
                <w:szCs w:val="21"/>
              </w:rPr>
              <w:br w:type="textWrapping"/>
            </w:r>
            <w:r>
              <w:rPr>
                <w:rFonts w:hint="eastAsia" w:ascii="宋体" w:hAnsi="宋体" w:cs="宋体"/>
                <w:b/>
                <w:bCs/>
                <w:kern w:val="0"/>
                <w:sz w:val="21"/>
                <w:szCs w:val="21"/>
              </w:rPr>
              <w:t>（万元）</w:t>
            </w:r>
          </w:p>
        </w:tc>
      </w:tr>
      <w:tr w14:paraId="5F7E83C4">
        <w:tblPrEx>
          <w:tblCellMar>
            <w:top w:w="0" w:type="dxa"/>
            <w:left w:w="108" w:type="dxa"/>
            <w:bottom w:w="0" w:type="dxa"/>
            <w:right w:w="108" w:type="dxa"/>
          </w:tblCellMar>
        </w:tblPrEx>
        <w:trPr>
          <w:trHeight w:val="56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21145E95">
            <w:pPr>
              <w:widowControl/>
              <w:jc w:val="center"/>
              <w:rPr>
                <w:rFonts w:ascii="宋体" w:hAnsi="宋体" w:cs="宋体"/>
                <w:kern w:val="0"/>
                <w:sz w:val="21"/>
                <w:szCs w:val="21"/>
              </w:rPr>
            </w:pPr>
            <w:r>
              <w:rPr>
                <w:rFonts w:hint="eastAsia" w:ascii="宋体" w:hAnsi="宋体" w:cs="宋体"/>
                <w:kern w:val="0"/>
                <w:sz w:val="21"/>
                <w:szCs w:val="21"/>
              </w:rPr>
              <w:t>1</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7A8B7674">
            <w:pPr>
              <w:widowControl/>
              <w:jc w:val="left"/>
              <w:rPr>
                <w:rFonts w:ascii="宋体" w:hAnsi="宋体" w:cs="宋体"/>
                <w:kern w:val="0"/>
                <w:sz w:val="21"/>
                <w:szCs w:val="21"/>
              </w:rPr>
            </w:pPr>
            <w:r>
              <w:rPr>
                <w:rFonts w:hint="eastAsia" w:ascii="宋体" w:hAnsi="宋体" w:cs="宋体"/>
                <w:kern w:val="0"/>
                <w:sz w:val="21"/>
                <w:szCs w:val="21"/>
              </w:rPr>
              <w:t>跨区迁移数据服务</w:t>
            </w:r>
          </w:p>
        </w:tc>
        <w:tc>
          <w:tcPr>
            <w:tcW w:w="3969" w:type="dxa"/>
            <w:tcBorders>
              <w:top w:val="nil"/>
              <w:left w:val="nil"/>
              <w:bottom w:val="single" w:color="auto" w:sz="4" w:space="0"/>
              <w:right w:val="single" w:color="auto" w:sz="4" w:space="0"/>
            </w:tcBorders>
            <w:shd w:val="clear" w:color="auto" w:fill="auto"/>
            <w:vAlign w:val="center"/>
          </w:tcPr>
          <w:p w14:paraId="691820C4">
            <w:pPr>
              <w:widowControl/>
              <w:jc w:val="left"/>
              <w:rPr>
                <w:rFonts w:ascii="宋体" w:hAnsi="宋体" w:cs="宋体"/>
                <w:kern w:val="0"/>
                <w:sz w:val="21"/>
                <w:szCs w:val="21"/>
              </w:rPr>
            </w:pPr>
            <w:r>
              <w:rPr>
                <w:rFonts w:hint="eastAsia" w:ascii="宋体" w:hAnsi="宋体" w:cs="宋体"/>
                <w:kern w:val="0"/>
                <w:sz w:val="21"/>
                <w:szCs w:val="21"/>
              </w:rPr>
              <w:t>为公司、分公司办理跨区迁移登记核准后，提供迁移清册数据共享服务，按税务部门约定的数据标准整理并共享数据，支持跨部门数据协同，助力迁移业务整体效率与合规性提升。</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76A9C426">
            <w:pPr>
              <w:widowControl/>
              <w:jc w:val="center"/>
              <w:rPr>
                <w:rFonts w:ascii="宋体" w:hAnsi="宋体" w:cs="宋体"/>
                <w:kern w:val="0"/>
                <w:sz w:val="21"/>
                <w:szCs w:val="21"/>
              </w:rPr>
            </w:pPr>
          </w:p>
        </w:tc>
      </w:tr>
      <w:tr w14:paraId="3881607A">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48B06711">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4F782946">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219CDD2A">
            <w:pPr>
              <w:widowControl/>
              <w:jc w:val="left"/>
              <w:rPr>
                <w:rFonts w:ascii="宋体" w:hAnsi="宋体" w:cs="宋体"/>
                <w:kern w:val="0"/>
                <w:sz w:val="21"/>
                <w:szCs w:val="21"/>
              </w:rPr>
            </w:pPr>
            <w:r>
              <w:rPr>
                <w:rFonts w:hint="eastAsia" w:ascii="宋体" w:hAnsi="宋体" w:cs="宋体"/>
                <w:kern w:val="0"/>
                <w:sz w:val="21"/>
                <w:szCs w:val="21"/>
              </w:rPr>
              <w:t>为非公司企业法人、非公司企业法人分支机构办理跨区迁移登记核准后，提供迁移清册数据共享服务，按税务部门约定的数据标准整理并共享数据，支持跨部门数据协同，助力迁移业务整体效率与合规性提升。</w:t>
            </w:r>
          </w:p>
        </w:tc>
        <w:tc>
          <w:tcPr>
            <w:tcW w:w="1418" w:type="dxa"/>
            <w:vMerge w:val="continue"/>
            <w:tcBorders>
              <w:top w:val="nil"/>
              <w:left w:val="single" w:color="auto" w:sz="4" w:space="0"/>
              <w:bottom w:val="single" w:color="000000" w:sz="4" w:space="0"/>
              <w:right w:val="double" w:color="auto" w:sz="4" w:space="0"/>
            </w:tcBorders>
            <w:vAlign w:val="center"/>
          </w:tcPr>
          <w:p w14:paraId="5EFCCC92">
            <w:pPr>
              <w:widowControl/>
              <w:jc w:val="left"/>
              <w:rPr>
                <w:rFonts w:ascii="宋体" w:hAnsi="宋体" w:cs="宋体"/>
                <w:kern w:val="0"/>
                <w:sz w:val="21"/>
                <w:szCs w:val="21"/>
              </w:rPr>
            </w:pPr>
          </w:p>
        </w:tc>
      </w:tr>
      <w:tr w14:paraId="5A057BD3">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27A57C5D">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7BEF7348">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0F56673">
            <w:pPr>
              <w:widowControl/>
              <w:jc w:val="left"/>
              <w:rPr>
                <w:rFonts w:ascii="宋体" w:hAnsi="宋体" w:cs="宋体"/>
                <w:kern w:val="0"/>
                <w:sz w:val="21"/>
                <w:szCs w:val="21"/>
              </w:rPr>
            </w:pPr>
            <w:r>
              <w:rPr>
                <w:rFonts w:hint="eastAsia" w:ascii="宋体" w:hAnsi="宋体" w:cs="宋体"/>
                <w:kern w:val="0"/>
                <w:sz w:val="21"/>
                <w:szCs w:val="21"/>
              </w:rPr>
              <w:t>为合伙企业、合伙企业分支机构办理跨区迁移登记核准后，提供迁移清册数据共享服务，按税务部门约定的数据标准整理并共享数据，支持跨部门数据协同，助力迁移业务整体效率与合规性提升。</w:t>
            </w:r>
          </w:p>
        </w:tc>
        <w:tc>
          <w:tcPr>
            <w:tcW w:w="1418" w:type="dxa"/>
            <w:vMerge w:val="continue"/>
            <w:tcBorders>
              <w:top w:val="nil"/>
              <w:left w:val="single" w:color="auto" w:sz="4" w:space="0"/>
              <w:bottom w:val="single" w:color="000000" w:sz="4" w:space="0"/>
              <w:right w:val="double" w:color="auto" w:sz="4" w:space="0"/>
            </w:tcBorders>
            <w:vAlign w:val="center"/>
          </w:tcPr>
          <w:p w14:paraId="7D95805C">
            <w:pPr>
              <w:widowControl/>
              <w:jc w:val="left"/>
              <w:rPr>
                <w:rFonts w:ascii="宋体" w:hAnsi="宋体" w:cs="宋体"/>
                <w:kern w:val="0"/>
                <w:sz w:val="21"/>
                <w:szCs w:val="21"/>
              </w:rPr>
            </w:pPr>
          </w:p>
        </w:tc>
      </w:tr>
      <w:tr w14:paraId="7D53A184">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01FC2FEA">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691F4180">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853A9F0">
            <w:pPr>
              <w:widowControl/>
              <w:jc w:val="left"/>
              <w:rPr>
                <w:rFonts w:ascii="宋体" w:hAnsi="宋体" w:cs="宋体"/>
                <w:kern w:val="0"/>
                <w:sz w:val="21"/>
                <w:szCs w:val="21"/>
              </w:rPr>
            </w:pPr>
            <w:r>
              <w:rPr>
                <w:rFonts w:hint="eastAsia" w:ascii="宋体" w:hAnsi="宋体" w:cs="宋体"/>
                <w:kern w:val="0"/>
                <w:sz w:val="21"/>
                <w:szCs w:val="21"/>
              </w:rPr>
              <w:t>为个人独资企业、个人独资企业分支机构办理跨区迁移登记核准后，提供迁移清册数据共享服务，按税务部门约定的数据标准整理并共享数据，支持跨部门数据协同，助力迁移业务整体效率与合规性提升。</w:t>
            </w:r>
          </w:p>
        </w:tc>
        <w:tc>
          <w:tcPr>
            <w:tcW w:w="1418" w:type="dxa"/>
            <w:vMerge w:val="continue"/>
            <w:tcBorders>
              <w:top w:val="nil"/>
              <w:left w:val="single" w:color="auto" w:sz="4" w:space="0"/>
              <w:bottom w:val="single" w:color="000000" w:sz="4" w:space="0"/>
              <w:right w:val="double" w:color="auto" w:sz="4" w:space="0"/>
            </w:tcBorders>
            <w:vAlign w:val="center"/>
          </w:tcPr>
          <w:p w14:paraId="3F22D61C">
            <w:pPr>
              <w:widowControl/>
              <w:jc w:val="left"/>
              <w:rPr>
                <w:rFonts w:ascii="宋体" w:hAnsi="宋体" w:cs="宋体"/>
                <w:kern w:val="0"/>
                <w:sz w:val="21"/>
                <w:szCs w:val="21"/>
              </w:rPr>
            </w:pPr>
          </w:p>
        </w:tc>
      </w:tr>
      <w:tr w14:paraId="70D20539">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0E29E71F">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6A1E9D34">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6291C4E">
            <w:pPr>
              <w:widowControl/>
              <w:jc w:val="left"/>
              <w:rPr>
                <w:rFonts w:ascii="宋体" w:hAnsi="宋体" w:cs="宋体"/>
                <w:kern w:val="0"/>
                <w:sz w:val="21"/>
                <w:szCs w:val="21"/>
              </w:rPr>
            </w:pPr>
            <w:r>
              <w:rPr>
                <w:rFonts w:hint="eastAsia" w:ascii="宋体" w:hAnsi="宋体" w:cs="宋体"/>
                <w:kern w:val="0"/>
                <w:sz w:val="21"/>
                <w:szCs w:val="21"/>
              </w:rPr>
              <w:t>为农民专业合作社、农民专业合作社分支机构办理跨区迁移登记核准后，提供迁移清册数据共享服务，按税务部门约定的数据标准整理并共享数据，支持跨部门数据协同，助力迁移业务整体效率与合规性提升。</w:t>
            </w:r>
          </w:p>
        </w:tc>
        <w:tc>
          <w:tcPr>
            <w:tcW w:w="1418" w:type="dxa"/>
            <w:vMerge w:val="continue"/>
            <w:tcBorders>
              <w:top w:val="nil"/>
              <w:left w:val="single" w:color="auto" w:sz="4" w:space="0"/>
              <w:bottom w:val="single" w:color="000000" w:sz="4" w:space="0"/>
              <w:right w:val="double" w:color="auto" w:sz="4" w:space="0"/>
            </w:tcBorders>
            <w:vAlign w:val="center"/>
          </w:tcPr>
          <w:p w14:paraId="102D4193">
            <w:pPr>
              <w:widowControl/>
              <w:jc w:val="left"/>
              <w:rPr>
                <w:rFonts w:ascii="宋体" w:hAnsi="宋体" w:cs="宋体"/>
                <w:kern w:val="0"/>
                <w:sz w:val="21"/>
                <w:szCs w:val="21"/>
              </w:rPr>
            </w:pPr>
          </w:p>
        </w:tc>
      </w:tr>
      <w:tr w14:paraId="1F243413">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4B4DCA7E">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2C629967">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F013256">
            <w:pPr>
              <w:widowControl/>
              <w:jc w:val="left"/>
              <w:rPr>
                <w:rFonts w:ascii="宋体" w:hAnsi="宋体" w:cs="宋体"/>
                <w:kern w:val="0"/>
                <w:sz w:val="21"/>
                <w:szCs w:val="21"/>
              </w:rPr>
            </w:pPr>
            <w:r>
              <w:rPr>
                <w:rFonts w:hint="eastAsia" w:ascii="宋体" w:hAnsi="宋体" w:cs="宋体"/>
                <w:kern w:val="0"/>
                <w:sz w:val="21"/>
                <w:szCs w:val="21"/>
              </w:rPr>
              <w:t>为个体工商户办理跨区迁移登记核准后，提供迁移清册数据共享服务，按税务部门约定的数据标准整理并共享数据，支持跨部门数据协同，助力迁移业务整体效率与合规性提升。</w:t>
            </w:r>
          </w:p>
        </w:tc>
        <w:tc>
          <w:tcPr>
            <w:tcW w:w="1418" w:type="dxa"/>
            <w:vMerge w:val="continue"/>
            <w:tcBorders>
              <w:top w:val="nil"/>
              <w:left w:val="single" w:color="auto" w:sz="4" w:space="0"/>
              <w:bottom w:val="single" w:color="000000" w:sz="4" w:space="0"/>
              <w:right w:val="double" w:color="auto" w:sz="4" w:space="0"/>
            </w:tcBorders>
            <w:vAlign w:val="center"/>
          </w:tcPr>
          <w:p w14:paraId="2DB576AA">
            <w:pPr>
              <w:widowControl/>
              <w:jc w:val="left"/>
              <w:rPr>
                <w:rFonts w:ascii="宋体" w:hAnsi="宋体" w:cs="宋体"/>
                <w:kern w:val="0"/>
                <w:sz w:val="21"/>
                <w:szCs w:val="21"/>
              </w:rPr>
            </w:pPr>
          </w:p>
        </w:tc>
      </w:tr>
      <w:tr w14:paraId="797B11D7">
        <w:tblPrEx>
          <w:tblCellMar>
            <w:top w:w="0" w:type="dxa"/>
            <w:left w:w="108" w:type="dxa"/>
            <w:bottom w:w="0" w:type="dxa"/>
            <w:right w:w="108" w:type="dxa"/>
          </w:tblCellMar>
        </w:tblPrEx>
        <w:trPr>
          <w:trHeight w:val="56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24B1C5F9">
            <w:pPr>
              <w:widowControl/>
              <w:jc w:val="center"/>
              <w:rPr>
                <w:rFonts w:ascii="宋体" w:hAnsi="宋体" w:cs="宋体"/>
                <w:kern w:val="0"/>
                <w:sz w:val="21"/>
                <w:szCs w:val="21"/>
              </w:rPr>
            </w:pPr>
            <w:r>
              <w:rPr>
                <w:rFonts w:hint="eastAsia" w:ascii="宋体" w:hAnsi="宋体" w:cs="宋体"/>
                <w:kern w:val="0"/>
                <w:sz w:val="21"/>
                <w:szCs w:val="21"/>
              </w:rPr>
              <w:t>2</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741A4937">
            <w:pPr>
              <w:widowControl/>
              <w:jc w:val="left"/>
              <w:rPr>
                <w:rFonts w:ascii="宋体" w:hAnsi="宋体" w:cs="宋体"/>
                <w:kern w:val="0"/>
                <w:sz w:val="21"/>
                <w:szCs w:val="21"/>
              </w:rPr>
            </w:pPr>
            <w:r>
              <w:rPr>
                <w:rFonts w:hint="eastAsia" w:ascii="宋体" w:hAnsi="宋体" w:cs="宋体"/>
                <w:kern w:val="0"/>
                <w:sz w:val="21"/>
                <w:szCs w:val="21"/>
              </w:rPr>
              <w:t>跨省迁移数据服务</w:t>
            </w:r>
          </w:p>
        </w:tc>
        <w:tc>
          <w:tcPr>
            <w:tcW w:w="3969" w:type="dxa"/>
            <w:tcBorders>
              <w:top w:val="nil"/>
              <w:left w:val="nil"/>
              <w:bottom w:val="single" w:color="auto" w:sz="4" w:space="0"/>
              <w:right w:val="single" w:color="auto" w:sz="4" w:space="0"/>
            </w:tcBorders>
            <w:shd w:val="clear" w:color="auto" w:fill="auto"/>
            <w:vAlign w:val="center"/>
          </w:tcPr>
          <w:p w14:paraId="7829DC4F">
            <w:pPr>
              <w:widowControl/>
              <w:jc w:val="left"/>
              <w:rPr>
                <w:rFonts w:ascii="宋体" w:hAnsi="宋体" w:cs="宋体"/>
                <w:kern w:val="0"/>
                <w:sz w:val="21"/>
                <w:szCs w:val="21"/>
              </w:rPr>
            </w:pPr>
            <w:r>
              <w:rPr>
                <w:rFonts w:hint="eastAsia" w:ascii="宋体" w:hAnsi="宋体" w:cs="宋体"/>
                <w:kern w:val="0"/>
                <w:sz w:val="21"/>
                <w:szCs w:val="21"/>
              </w:rPr>
              <w:t>为公司、分公司办理迁往外省市登记核准后，提供迁移清册数据共享服务，按税务部门约定的数据标准整理并共享数据，支持跨部门数据协同，助力迁移业务整体效率与合规性提升。</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711941F0">
            <w:pPr>
              <w:widowControl/>
              <w:jc w:val="center"/>
              <w:rPr>
                <w:rFonts w:ascii="宋体" w:hAnsi="宋体" w:cs="宋体"/>
                <w:kern w:val="0"/>
                <w:sz w:val="21"/>
                <w:szCs w:val="21"/>
              </w:rPr>
            </w:pPr>
          </w:p>
        </w:tc>
      </w:tr>
      <w:tr w14:paraId="4A1F6EEC">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31871299">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6450FB0F">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31720E25">
            <w:pPr>
              <w:widowControl/>
              <w:jc w:val="left"/>
              <w:rPr>
                <w:rFonts w:ascii="宋体" w:hAnsi="宋体" w:cs="宋体"/>
                <w:kern w:val="0"/>
                <w:sz w:val="21"/>
                <w:szCs w:val="21"/>
              </w:rPr>
            </w:pPr>
            <w:r>
              <w:rPr>
                <w:rFonts w:hint="eastAsia" w:ascii="宋体" w:hAnsi="宋体" w:cs="宋体"/>
                <w:kern w:val="0"/>
                <w:sz w:val="21"/>
                <w:szCs w:val="21"/>
              </w:rPr>
              <w:t>为非公司企业法人、非公司企业法人分支机构办理跨区迁移登记核准后，提供迁移清册数据共享服务，按税务部门约定的数据标准整理并共享数据，支持跨部门数据协同，助力迁移业务整体效率与合规性提升。</w:t>
            </w:r>
          </w:p>
        </w:tc>
        <w:tc>
          <w:tcPr>
            <w:tcW w:w="1418" w:type="dxa"/>
            <w:vMerge w:val="continue"/>
            <w:tcBorders>
              <w:top w:val="nil"/>
              <w:left w:val="single" w:color="auto" w:sz="4" w:space="0"/>
              <w:bottom w:val="single" w:color="000000" w:sz="4" w:space="0"/>
              <w:right w:val="double" w:color="auto" w:sz="4" w:space="0"/>
            </w:tcBorders>
            <w:vAlign w:val="center"/>
          </w:tcPr>
          <w:p w14:paraId="6DBB390D">
            <w:pPr>
              <w:widowControl/>
              <w:jc w:val="left"/>
              <w:rPr>
                <w:rFonts w:ascii="宋体" w:hAnsi="宋体" w:cs="宋体"/>
                <w:kern w:val="0"/>
                <w:sz w:val="21"/>
                <w:szCs w:val="21"/>
              </w:rPr>
            </w:pPr>
          </w:p>
        </w:tc>
      </w:tr>
      <w:tr w14:paraId="7263D69E">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660E77BE">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2517D7CE">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64D851B0">
            <w:pPr>
              <w:widowControl/>
              <w:jc w:val="left"/>
              <w:rPr>
                <w:rFonts w:ascii="宋体" w:hAnsi="宋体" w:cs="宋体"/>
                <w:kern w:val="0"/>
                <w:sz w:val="21"/>
                <w:szCs w:val="21"/>
              </w:rPr>
            </w:pPr>
            <w:r>
              <w:rPr>
                <w:rFonts w:hint="eastAsia" w:ascii="宋体" w:hAnsi="宋体" w:cs="宋体"/>
                <w:kern w:val="0"/>
                <w:sz w:val="21"/>
                <w:szCs w:val="21"/>
              </w:rPr>
              <w:t>为合伙企业、合伙企业分支机构办理跨区迁移登记核准后，提供迁移清册数据共享服务，按税务部门约定的数据标准整理并共享数据，支持跨部门数据协同，助力迁移业务整体效率与合规性提升。</w:t>
            </w:r>
          </w:p>
        </w:tc>
        <w:tc>
          <w:tcPr>
            <w:tcW w:w="1418" w:type="dxa"/>
            <w:vMerge w:val="continue"/>
            <w:tcBorders>
              <w:top w:val="nil"/>
              <w:left w:val="single" w:color="auto" w:sz="4" w:space="0"/>
              <w:bottom w:val="single" w:color="000000" w:sz="4" w:space="0"/>
              <w:right w:val="double" w:color="auto" w:sz="4" w:space="0"/>
            </w:tcBorders>
            <w:vAlign w:val="center"/>
          </w:tcPr>
          <w:p w14:paraId="75AE50D4">
            <w:pPr>
              <w:widowControl/>
              <w:jc w:val="left"/>
              <w:rPr>
                <w:rFonts w:ascii="宋体" w:hAnsi="宋体" w:cs="宋体"/>
                <w:kern w:val="0"/>
                <w:sz w:val="21"/>
                <w:szCs w:val="21"/>
              </w:rPr>
            </w:pPr>
          </w:p>
        </w:tc>
      </w:tr>
      <w:tr w14:paraId="364B6F7A">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5B14B750">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BD04EB1">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622E154">
            <w:pPr>
              <w:widowControl/>
              <w:jc w:val="left"/>
              <w:rPr>
                <w:rFonts w:ascii="宋体" w:hAnsi="宋体" w:cs="宋体"/>
                <w:kern w:val="0"/>
                <w:sz w:val="21"/>
                <w:szCs w:val="21"/>
              </w:rPr>
            </w:pPr>
            <w:r>
              <w:rPr>
                <w:rFonts w:hint="eastAsia" w:ascii="宋体" w:hAnsi="宋体" w:cs="宋体"/>
                <w:kern w:val="0"/>
                <w:sz w:val="21"/>
                <w:szCs w:val="21"/>
              </w:rPr>
              <w:t>为个人独资企业、个人独资企业分支机构办理跨区迁移登记核准后，提供迁移清册数据共享服务，按税务部门约定的数据标准整理并共享数据，支持跨部门数据协同，助力迁移业务整体效率与合规性提升。</w:t>
            </w:r>
          </w:p>
        </w:tc>
        <w:tc>
          <w:tcPr>
            <w:tcW w:w="1418" w:type="dxa"/>
            <w:vMerge w:val="continue"/>
            <w:tcBorders>
              <w:top w:val="nil"/>
              <w:left w:val="single" w:color="auto" w:sz="4" w:space="0"/>
              <w:bottom w:val="single" w:color="000000" w:sz="4" w:space="0"/>
              <w:right w:val="double" w:color="auto" w:sz="4" w:space="0"/>
            </w:tcBorders>
            <w:vAlign w:val="center"/>
          </w:tcPr>
          <w:p w14:paraId="26CAD11D">
            <w:pPr>
              <w:widowControl/>
              <w:jc w:val="left"/>
              <w:rPr>
                <w:rFonts w:ascii="宋体" w:hAnsi="宋体" w:cs="宋体"/>
                <w:kern w:val="0"/>
                <w:sz w:val="21"/>
                <w:szCs w:val="21"/>
              </w:rPr>
            </w:pPr>
          </w:p>
        </w:tc>
      </w:tr>
      <w:tr w14:paraId="6DCD258B">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18360B36">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7E68F2FE">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A112C77">
            <w:pPr>
              <w:widowControl/>
              <w:jc w:val="left"/>
              <w:rPr>
                <w:rFonts w:ascii="宋体" w:hAnsi="宋体" w:cs="宋体"/>
                <w:kern w:val="0"/>
                <w:sz w:val="21"/>
                <w:szCs w:val="21"/>
              </w:rPr>
            </w:pPr>
            <w:r>
              <w:rPr>
                <w:rFonts w:hint="eastAsia" w:ascii="宋体" w:hAnsi="宋体" w:cs="宋体"/>
                <w:kern w:val="0"/>
                <w:sz w:val="21"/>
                <w:szCs w:val="21"/>
              </w:rPr>
              <w:t>为农民专业合作社、农民专业合作社分支机构办理跨区迁移登记核准后，提供迁移清册数据共享服务，按税务部门约定的数据标准整理并共享数据，支持跨部门数据协同，助力迁移业务整体效率与合规性提升。</w:t>
            </w:r>
          </w:p>
        </w:tc>
        <w:tc>
          <w:tcPr>
            <w:tcW w:w="1418" w:type="dxa"/>
            <w:vMerge w:val="continue"/>
            <w:tcBorders>
              <w:top w:val="nil"/>
              <w:left w:val="single" w:color="auto" w:sz="4" w:space="0"/>
              <w:bottom w:val="single" w:color="000000" w:sz="4" w:space="0"/>
              <w:right w:val="double" w:color="auto" w:sz="4" w:space="0"/>
            </w:tcBorders>
            <w:vAlign w:val="center"/>
          </w:tcPr>
          <w:p w14:paraId="0A1A51F8">
            <w:pPr>
              <w:widowControl/>
              <w:jc w:val="left"/>
              <w:rPr>
                <w:rFonts w:ascii="宋体" w:hAnsi="宋体" w:cs="宋体"/>
                <w:kern w:val="0"/>
                <w:sz w:val="21"/>
                <w:szCs w:val="21"/>
              </w:rPr>
            </w:pPr>
          </w:p>
        </w:tc>
      </w:tr>
      <w:tr w14:paraId="37AA8C3E">
        <w:tblPrEx>
          <w:tblCellMar>
            <w:top w:w="0" w:type="dxa"/>
            <w:left w:w="108" w:type="dxa"/>
            <w:bottom w:w="0" w:type="dxa"/>
            <w:right w:w="108" w:type="dxa"/>
          </w:tblCellMar>
        </w:tblPrEx>
        <w:trPr>
          <w:trHeight w:val="56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3ED409BF">
            <w:pPr>
              <w:widowControl/>
              <w:jc w:val="center"/>
              <w:rPr>
                <w:rFonts w:ascii="宋体" w:hAnsi="宋体" w:cs="宋体"/>
                <w:kern w:val="0"/>
                <w:sz w:val="21"/>
                <w:szCs w:val="21"/>
              </w:rPr>
            </w:pPr>
            <w:r>
              <w:rPr>
                <w:rFonts w:hint="eastAsia" w:ascii="宋体" w:hAnsi="宋体" w:cs="宋体"/>
                <w:kern w:val="0"/>
                <w:sz w:val="21"/>
                <w:szCs w:val="21"/>
              </w:rPr>
              <w:t>3</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34AB086A">
            <w:pPr>
              <w:widowControl/>
              <w:jc w:val="left"/>
              <w:rPr>
                <w:rFonts w:ascii="宋体" w:hAnsi="宋体" w:cs="宋体"/>
                <w:kern w:val="0"/>
                <w:sz w:val="21"/>
                <w:szCs w:val="21"/>
              </w:rPr>
            </w:pPr>
            <w:r>
              <w:rPr>
                <w:rFonts w:hint="eastAsia" w:ascii="宋体" w:hAnsi="宋体" w:cs="宋体"/>
                <w:kern w:val="0"/>
                <w:sz w:val="21"/>
                <w:szCs w:val="21"/>
              </w:rPr>
              <w:t>清册数据汇聚与共享服务</w:t>
            </w:r>
          </w:p>
        </w:tc>
        <w:tc>
          <w:tcPr>
            <w:tcW w:w="3969" w:type="dxa"/>
            <w:tcBorders>
              <w:top w:val="nil"/>
              <w:left w:val="nil"/>
              <w:bottom w:val="single" w:color="auto" w:sz="4" w:space="0"/>
              <w:right w:val="single" w:color="auto" w:sz="4" w:space="0"/>
            </w:tcBorders>
            <w:shd w:val="clear" w:color="auto" w:fill="auto"/>
            <w:vAlign w:val="center"/>
          </w:tcPr>
          <w:p w14:paraId="2927B8B5">
            <w:pPr>
              <w:widowControl/>
              <w:jc w:val="left"/>
              <w:rPr>
                <w:rFonts w:ascii="宋体" w:hAnsi="宋体" w:cs="宋体"/>
                <w:kern w:val="0"/>
                <w:sz w:val="21"/>
                <w:szCs w:val="21"/>
              </w:rPr>
            </w:pPr>
            <w:r>
              <w:rPr>
                <w:rFonts w:hint="eastAsia" w:ascii="宋体" w:hAnsi="宋体" w:cs="宋体"/>
                <w:kern w:val="0"/>
                <w:sz w:val="21"/>
                <w:szCs w:val="21"/>
              </w:rPr>
              <w:t>完善迁移清册数据共享指标，实现与税务部门数据的顺畅对接，完成迁移清册数据的闭环管理，确保数据准确、完整和及时共享。</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6D300477">
            <w:pPr>
              <w:widowControl/>
              <w:jc w:val="center"/>
              <w:rPr>
                <w:rFonts w:ascii="宋体" w:hAnsi="宋体" w:cs="宋体"/>
                <w:kern w:val="0"/>
                <w:sz w:val="21"/>
                <w:szCs w:val="21"/>
              </w:rPr>
            </w:pPr>
          </w:p>
        </w:tc>
      </w:tr>
      <w:tr w14:paraId="32097ED6">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564F49F4">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52745DA9">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37B45617">
            <w:pPr>
              <w:widowControl/>
              <w:jc w:val="left"/>
              <w:rPr>
                <w:rFonts w:ascii="宋体" w:hAnsi="宋体" w:cs="宋体"/>
                <w:kern w:val="0"/>
                <w:sz w:val="21"/>
                <w:szCs w:val="21"/>
              </w:rPr>
            </w:pPr>
            <w:r>
              <w:rPr>
                <w:rFonts w:hint="eastAsia" w:ascii="宋体" w:hAnsi="宋体" w:cs="宋体"/>
                <w:kern w:val="0"/>
                <w:sz w:val="21"/>
                <w:szCs w:val="21"/>
              </w:rPr>
              <w:t>提供迁移清册数据共享对账服务，基于信息共享要求，与税务部门共同制定对账机制，并为清册数据共享提供对账支持。</w:t>
            </w:r>
          </w:p>
        </w:tc>
        <w:tc>
          <w:tcPr>
            <w:tcW w:w="1418" w:type="dxa"/>
            <w:vMerge w:val="continue"/>
            <w:tcBorders>
              <w:top w:val="nil"/>
              <w:left w:val="single" w:color="auto" w:sz="4" w:space="0"/>
              <w:bottom w:val="single" w:color="000000" w:sz="4" w:space="0"/>
              <w:right w:val="double" w:color="auto" w:sz="4" w:space="0"/>
            </w:tcBorders>
            <w:vAlign w:val="center"/>
          </w:tcPr>
          <w:p w14:paraId="0966F371">
            <w:pPr>
              <w:widowControl/>
              <w:jc w:val="left"/>
              <w:rPr>
                <w:rFonts w:ascii="宋体" w:hAnsi="宋体" w:cs="宋体"/>
                <w:kern w:val="0"/>
                <w:sz w:val="21"/>
                <w:szCs w:val="21"/>
              </w:rPr>
            </w:pPr>
          </w:p>
        </w:tc>
      </w:tr>
      <w:tr w14:paraId="76EB5449">
        <w:tblPrEx>
          <w:tblCellMar>
            <w:top w:w="0" w:type="dxa"/>
            <w:left w:w="108" w:type="dxa"/>
            <w:bottom w:w="0" w:type="dxa"/>
            <w:right w:w="108" w:type="dxa"/>
          </w:tblCellMar>
        </w:tblPrEx>
        <w:trPr>
          <w:trHeight w:val="280" w:hRule="atLeast"/>
        </w:trPr>
        <w:tc>
          <w:tcPr>
            <w:tcW w:w="6794" w:type="dxa"/>
            <w:gridSpan w:val="3"/>
            <w:tcBorders>
              <w:top w:val="single" w:color="auto" w:sz="4" w:space="0"/>
              <w:left w:val="double" w:color="auto" w:sz="4" w:space="0"/>
              <w:bottom w:val="double" w:color="auto" w:sz="4" w:space="0"/>
              <w:right w:val="single" w:color="auto" w:sz="4" w:space="0"/>
            </w:tcBorders>
            <w:shd w:val="clear" w:color="000000" w:fill="D9D9D9"/>
            <w:noWrap/>
            <w:vAlign w:val="center"/>
          </w:tcPr>
          <w:p w14:paraId="1A193F04">
            <w:pPr>
              <w:widowControl/>
              <w:jc w:val="center"/>
              <w:rPr>
                <w:rFonts w:ascii="宋体" w:hAnsi="宋体" w:cs="宋体"/>
                <w:b/>
                <w:bCs/>
                <w:kern w:val="0"/>
                <w:sz w:val="21"/>
                <w:szCs w:val="21"/>
              </w:rPr>
            </w:pPr>
            <w:r>
              <w:rPr>
                <w:rFonts w:hint="eastAsia" w:ascii="宋体" w:hAnsi="宋体" w:cs="宋体"/>
                <w:b/>
                <w:bCs/>
                <w:kern w:val="0"/>
                <w:sz w:val="21"/>
                <w:szCs w:val="21"/>
              </w:rPr>
              <w:t>合计</w:t>
            </w:r>
          </w:p>
        </w:tc>
        <w:tc>
          <w:tcPr>
            <w:tcW w:w="1418" w:type="dxa"/>
            <w:tcBorders>
              <w:top w:val="nil"/>
              <w:left w:val="nil"/>
              <w:bottom w:val="double" w:color="auto" w:sz="4" w:space="0"/>
              <w:right w:val="double" w:color="auto" w:sz="4" w:space="0"/>
            </w:tcBorders>
            <w:shd w:val="clear" w:color="auto" w:fill="auto"/>
            <w:noWrap/>
            <w:vAlign w:val="center"/>
          </w:tcPr>
          <w:p w14:paraId="300FE933">
            <w:pPr>
              <w:widowControl/>
              <w:jc w:val="center"/>
              <w:rPr>
                <w:rFonts w:ascii="宋体" w:hAnsi="宋体" w:cs="宋体"/>
                <w:b/>
                <w:bCs/>
                <w:kern w:val="0"/>
                <w:sz w:val="21"/>
                <w:szCs w:val="21"/>
              </w:rPr>
            </w:pPr>
          </w:p>
        </w:tc>
      </w:tr>
    </w:tbl>
    <w:p w14:paraId="0BB4EC0E">
      <w:pPr>
        <w:pStyle w:val="3"/>
        <w:numPr>
          <w:ilvl w:val="1"/>
          <w:numId w:val="2"/>
        </w:numPr>
        <w:ind w:left="0" w:firstLine="0"/>
      </w:pPr>
      <w:r>
        <w:rPr>
          <w:rFonts w:hint="eastAsia"/>
        </w:rPr>
        <w:t>《个体工商户登记管理规定》相关服务提升预算表</w:t>
      </w:r>
    </w:p>
    <w:tbl>
      <w:tblPr>
        <w:tblStyle w:val="8"/>
        <w:tblW w:w="8212" w:type="dxa"/>
        <w:tblInd w:w="-5" w:type="dxa"/>
        <w:tblLayout w:type="autofit"/>
        <w:tblCellMar>
          <w:top w:w="0" w:type="dxa"/>
          <w:left w:w="108" w:type="dxa"/>
          <w:bottom w:w="0" w:type="dxa"/>
          <w:right w:w="108" w:type="dxa"/>
        </w:tblCellMar>
      </w:tblPr>
      <w:tblGrid>
        <w:gridCol w:w="841"/>
        <w:gridCol w:w="1984"/>
        <w:gridCol w:w="3969"/>
        <w:gridCol w:w="1418"/>
      </w:tblGrid>
      <w:tr w14:paraId="186DDE2D">
        <w:tblPrEx>
          <w:tblCellMar>
            <w:top w:w="0" w:type="dxa"/>
            <w:left w:w="108" w:type="dxa"/>
            <w:bottom w:w="0" w:type="dxa"/>
            <w:right w:w="108" w:type="dxa"/>
          </w:tblCellMar>
        </w:tblPrEx>
        <w:trPr>
          <w:trHeight w:val="730" w:hRule="atLeast"/>
          <w:tblHeader/>
        </w:trPr>
        <w:tc>
          <w:tcPr>
            <w:tcW w:w="841" w:type="dxa"/>
            <w:tcBorders>
              <w:top w:val="double" w:color="auto" w:sz="4" w:space="0"/>
              <w:left w:val="double" w:color="auto" w:sz="4" w:space="0"/>
              <w:bottom w:val="single" w:color="auto" w:sz="4" w:space="0"/>
              <w:right w:val="single" w:color="auto" w:sz="4" w:space="0"/>
            </w:tcBorders>
            <w:shd w:val="clear" w:color="000000" w:fill="D9D9D9"/>
            <w:noWrap/>
            <w:vAlign w:val="center"/>
          </w:tcPr>
          <w:p w14:paraId="71858F0F">
            <w:pPr>
              <w:widowControl/>
              <w:jc w:val="center"/>
              <w:rPr>
                <w:rFonts w:ascii="宋体" w:hAnsi="宋体" w:cs="宋体"/>
                <w:b/>
                <w:bCs/>
                <w:kern w:val="0"/>
                <w:sz w:val="21"/>
                <w:szCs w:val="21"/>
              </w:rPr>
            </w:pPr>
            <w:r>
              <w:rPr>
                <w:rFonts w:hint="eastAsia" w:ascii="宋体" w:hAnsi="宋体" w:cs="宋体"/>
                <w:b/>
                <w:bCs/>
                <w:kern w:val="0"/>
                <w:sz w:val="21"/>
                <w:szCs w:val="21"/>
              </w:rPr>
              <w:t>编号</w:t>
            </w:r>
          </w:p>
        </w:tc>
        <w:tc>
          <w:tcPr>
            <w:tcW w:w="1984" w:type="dxa"/>
            <w:tcBorders>
              <w:top w:val="double" w:color="auto" w:sz="4" w:space="0"/>
              <w:left w:val="nil"/>
              <w:bottom w:val="single" w:color="auto" w:sz="4" w:space="0"/>
              <w:right w:val="single" w:color="auto" w:sz="4" w:space="0"/>
            </w:tcBorders>
            <w:shd w:val="clear" w:color="000000" w:fill="D9D9D9"/>
            <w:vAlign w:val="center"/>
          </w:tcPr>
          <w:p w14:paraId="1F7F1252">
            <w:pPr>
              <w:widowControl/>
              <w:jc w:val="center"/>
              <w:rPr>
                <w:rFonts w:ascii="宋体" w:hAnsi="宋体" w:cs="宋体"/>
                <w:b/>
                <w:bCs/>
                <w:kern w:val="0"/>
                <w:sz w:val="21"/>
                <w:szCs w:val="21"/>
              </w:rPr>
            </w:pPr>
            <w:r>
              <w:rPr>
                <w:rFonts w:hint="eastAsia" w:ascii="宋体" w:hAnsi="宋体" w:cs="宋体"/>
                <w:b/>
                <w:bCs/>
                <w:kern w:val="0"/>
                <w:sz w:val="21"/>
                <w:szCs w:val="21"/>
              </w:rPr>
              <w:t>项目名称</w:t>
            </w:r>
          </w:p>
        </w:tc>
        <w:tc>
          <w:tcPr>
            <w:tcW w:w="3969" w:type="dxa"/>
            <w:tcBorders>
              <w:top w:val="double" w:color="auto" w:sz="4" w:space="0"/>
              <w:left w:val="nil"/>
              <w:bottom w:val="single" w:color="auto" w:sz="4" w:space="0"/>
              <w:right w:val="single" w:color="auto" w:sz="4" w:space="0"/>
            </w:tcBorders>
            <w:shd w:val="clear" w:color="000000" w:fill="D9D9D9"/>
            <w:vAlign w:val="center"/>
          </w:tcPr>
          <w:p w14:paraId="21D91941">
            <w:pPr>
              <w:widowControl/>
              <w:jc w:val="center"/>
              <w:rPr>
                <w:rFonts w:ascii="宋体" w:hAnsi="宋体" w:cs="宋体"/>
                <w:b/>
                <w:bCs/>
                <w:kern w:val="0"/>
                <w:sz w:val="21"/>
                <w:szCs w:val="21"/>
              </w:rPr>
            </w:pPr>
            <w:r>
              <w:rPr>
                <w:rFonts w:hint="eastAsia" w:ascii="宋体" w:hAnsi="宋体" w:cs="宋体"/>
                <w:b/>
                <w:bCs/>
                <w:kern w:val="0"/>
                <w:sz w:val="21"/>
                <w:szCs w:val="21"/>
              </w:rPr>
              <w:t>服务需求及说明</w:t>
            </w:r>
          </w:p>
        </w:tc>
        <w:tc>
          <w:tcPr>
            <w:tcW w:w="1418" w:type="dxa"/>
            <w:tcBorders>
              <w:top w:val="double" w:color="auto" w:sz="4" w:space="0"/>
              <w:left w:val="nil"/>
              <w:bottom w:val="single" w:color="auto" w:sz="4" w:space="0"/>
              <w:right w:val="double" w:color="auto" w:sz="4" w:space="0"/>
            </w:tcBorders>
            <w:shd w:val="clear" w:color="000000" w:fill="D9D9D9"/>
            <w:vAlign w:val="center"/>
          </w:tcPr>
          <w:p w14:paraId="253E0D16">
            <w:pPr>
              <w:widowControl/>
              <w:jc w:val="center"/>
              <w:rPr>
                <w:rFonts w:ascii="宋体" w:hAnsi="宋体" w:cs="宋体"/>
                <w:b/>
                <w:bCs/>
                <w:kern w:val="0"/>
                <w:sz w:val="21"/>
                <w:szCs w:val="21"/>
              </w:rPr>
            </w:pPr>
            <w:r>
              <w:rPr>
                <w:rFonts w:hint="eastAsia" w:ascii="宋体" w:hAnsi="宋体" w:cs="宋体"/>
                <w:b/>
                <w:bCs/>
                <w:kern w:val="0"/>
                <w:sz w:val="21"/>
                <w:szCs w:val="21"/>
              </w:rPr>
              <w:t>金额</w:t>
            </w:r>
            <w:r>
              <w:rPr>
                <w:rFonts w:hint="eastAsia" w:ascii="宋体" w:hAnsi="宋体" w:cs="宋体"/>
                <w:b/>
                <w:bCs/>
                <w:kern w:val="0"/>
                <w:sz w:val="21"/>
                <w:szCs w:val="21"/>
              </w:rPr>
              <w:br w:type="textWrapping"/>
            </w:r>
            <w:r>
              <w:rPr>
                <w:rFonts w:hint="eastAsia" w:ascii="宋体" w:hAnsi="宋体" w:cs="宋体"/>
                <w:b/>
                <w:bCs/>
                <w:kern w:val="0"/>
                <w:sz w:val="21"/>
                <w:szCs w:val="21"/>
              </w:rPr>
              <w:t>（万元）</w:t>
            </w:r>
          </w:p>
        </w:tc>
      </w:tr>
      <w:tr w14:paraId="4CB331F4">
        <w:tblPrEx>
          <w:tblCellMar>
            <w:top w:w="0" w:type="dxa"/>
            <w:left w:w="108" w:type="dxa"/>
            <w:bottom w:w="0" w:type="dxa"/>
            <w:right w:w="108" w:type="dxa"/>
          </w:tblCellMar>
        </w:tblPrEx>
        <w:trPr>
          <w:trHeight w:val="112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2E6B6B7D">
            <w:pPr>
              <w:widowControl/>
              <w:jc w:val="center"/>
              <w:rPr>
                <w:rFonts w:ascii="宋体" w:hAnsi="宋体" w:cs="宋体"/>
                <w:kern w:val="0"/>
                <w:sz w:val="21"/>
                <w:szCs w:val="21"/>
              </w:rPr>
            </w:pPr>
            <w:r>
              <w:rPr>
                <w:rFonts w:hint="eastAsia" w:ascii="宋体" w:hAnsi="宋体" w:cs="宋体"/>
                <w:kern w:val="0"/>
                <w:sz w:val="21"/>
                <w:szCs w:val="21"/>
              </w:rPr>
              <w:t>1</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554E8D7F">
            <w:pPr>
              <w:widowControl/>
              <w:jc w:val="left"/>
              <w:rPr>
                <w:rFonts w:ascii="宋体" w:hAnsi="宋体" w:cs="宋体"/>
                <w:kern w:val="0"/>
                <w:sz w:val="21"/>
                <w:szCs w:val="21"/>
              </w:rPr>
            </w:pPr>
            <w:r>
              <w:rPr>
                <w:rFonts w:hint="eastAsia" w:ascii="宋体" w:hAnsi="宋体" w:cs="宋体"/>
                <w:kern w:val="0"/>
                <w:sz w:val="21"/>
                <w:szCs w:val="21"/>
              </w:rPr>
              <w:t>个体工商户电子商务经营者经营范围服务完善</w:t>
            </w:r>
          </w:p>
        </w:tc>
        <w:tc>
          <w:tcPr>
            <w:tcW w:w="3969" w:type="dxa"/>
            <w:tcBorders>
              <w:top w:val="nil"/>
              <w:left w:val="nil"/>
              <w:bottom w:val="single" w:color="auto" w:sz="4" w:space="0"/>
              <w:right w:val="single" w:color="auto" w:sz="4" w:space="0"/>
            </w:tcBorders>
            <w:shd w:val="clear" w:color="auto" w:fill="auto"/>
            <w:vAlign w:val="center"/>
          </w:tcPr>
          <w:p w14:paraId="58003656">
            <w:pPr>
              <w:widowControl/>
              <w:jc w:val="left"/>
              <w:rPr>
                <w:rFonts w:ascii="宋体" w:hAnsi="宋体" w:cs="宋体"/>
                <w:kern w:val="0"/>
                <w:sz w:val="21"/>
                <w:szCs w:val="21"/>
              </w:rPr>
            </w:pPr>
            <w:r>
              <w:rPr>
                <w:rFonts w:hint="eastAsia" w:ascii="宋体" w:hAnsi="宋体" w:cs="宋体"/>
                <w:kern w:val="0"/>
                <w:sz w:val="21"/>
                <w:szCs w:val="21"/>
              </w:rPr>
              <w:t>为提升登记信息的准确性，在互联网端为个体工商户办理经营范围填报时，提供网络经营行为智能识别服务。当判断申请人仅使用电商平台提供的网络地址作为经营场所时，自动在核准的经营范围后添加规范标注“（仅通过网络开展经营活动）”。从源头确保营业执照内容与实际经营模式一致，增强登记工作的规范性和公信力。</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0351AC3B">
            <w:pPr>
              <w:widowControl/>
              <w:jc w:val="center"/>
              <w:rPr>
                <w:rFonts w:ascii="宋体" w:hAnsi="宋体" w:cs="宋体"/>
                <w:kern w:val="0"/>
                <w:sz w:val="21"/>
                <w:szCs w:val="21"/>
              </w:rPr>
            </w:pPr>
          </w:p>
        </w:tc>
      </w:tr>
      <w:tr w14:paraId="3780FF5A">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18A5A554">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6601A83C">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38F648B7">
            <w:pPr>
              <w:widowControl/>
              <w:jc w:val="left"/>
              <w:rPr>
                <w:rFonts w:ascii="宋体" w:hAnsi="宋体" w:cs="宋体"/>
                <w:kern w:val="0"/>
                <w:sz w:val="21"/>
                <w:szCs w:val="21"/>
              </w:rPr>
            </w:pPr>
            <w:r>
              <w:rPr>
                <w:rFonts w:hint="eastAsia" w:ascii="宋体" w:hAnsi="宋体" w:cs="宋体"/>
                <w:kern w:val="0"/>
                <w:sz w:val="21"/>
                <w:szCs w:val="21"/>
              </w:rPr>
              <w:t>为提升登记信息的准确性，在内网端为个体工商户办理经营范围填报时，提供网络经营行为智能识别服务。当判断申请人仅使用电商平台提供的网络地址作为经营场所时，自动在核准的经营范围后添加规范标注“（仅通过网络开展经营活动）”。从源头确保营业执照内容与实际经营模式一致，增强登记工作的规范性和公信力。</w:t>
            </w:r>
          </w:p>
        </w:tc>
        <w:tc>
          <w:tcPr>
            <w:tcW w:w="1418" w:type="dxa"/>
            <w:vMerge w:val="continue"/>
            <w:tcBorders>
              <w:top w:val="nil"/>
              <w:left w:val="single" w:color="auto" w:sz="4" w:space="0"/>
              <w:bottom w:val="single" w:color="000000" w:sz="4" w:space="0"/>
              <w:right w:val="double" w:color="auto" w:sz="4" w:space="0"/>
            </w:tcBorders>
            <w:vAlign w:val="center"/>
          </w:tcPr>
          <w:p w14:paraId="27358A63">
            <w:pPr>
              <w:widowControl/>
              <w:jc w:val="left"/>
              <w:rPr>
                <w:rFonts w:ascii="宋体" w:hAnsi="宋体" w:cs="宋体"/>
                <w:kern w:val="0"/>
                <w:sz w:val="21"/>
                <w:szCs w:val="21"/>
              </w:rPr>
            </w:pPr>
          </w:p>
        </w:tc>
      </w:tr>
      <w:tr w14:paraId="7CAC0528">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570B41D7">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4E10097D">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610A9D70">
            <w:pPr>
              <w:widowControl/>
              <w:jc w:val="left"/>
              <w:rPr>
                <w:rFonts w:ascii="宋体" w:hAnsi="宋体" w:cs="宋体"/>
                <w:kern w:val="0"/>
                <w:sz w:val="21"/>
                <w:szCs w:val="21"/>
              </w:rPr>
            </w:pPr>
            <w:r>
              <w:rPr>
                <w:rFonts w:hint="eastAsia" w:ascii="宋体" w:hAnsi="宋体" w:cs="宋体"/>
                <w:kern w:val="0"/>
                <w:sz w:val="21"/>
                <w:szCs w:val="21"/>
              </w:rPr>
              <w:t>为提升登记信息的准确性，在企业开办“一网通办”平台为个体工商户办理经营范围填报时，提供网络经营行为智能识别服务。当判断申请人仅使用电商平台提供的网络地址作为经营场所时，自动在核准的经营范围后添加规范标注“（仅通过网络开展经营活动）”。从源头确保营业执照内容与实际经营模式一致，增强登记工作的规范性和公信力。</w:t>
            </w:r>
          </w:p>
        </w:tc>
        <w:tc>
          <w:tcPr>
            <w:tcW w:w="1418" w:type="dxa"/>
            <w:vMerge w:val="continue"/>
            <w:tcBorders>
              <w:top w:val="nil"/>
              <w:left w:val="single" w:color="auto" w:sz="4" w:space="0"/>
              <w:bottom w:val="single" w:color="000000" w:sz="4" w:space="0"/>
              <w:right w:val="double" w:color="auto" w:sz="4" w:space="0"/>
            </w:tcBorders>
            <w:vAlign w:val="center"/>
          </w:tcPr>
          <w:p w14:paraId="75797993">
            <w:pPr>
              <w:widowControl/>
              <w:jc w:val="left"/>
              <w:rPr>
                <w:rFonts w:ascii="宋体" w:hAnsi="宋体" w:cs="宋体"/>
                <w:kern w:val="0"/>
                <w:sz w:val="21"/>
                <w:szCs w:val="21"/>
              </w:rPr>
            </w:pPr>
          </w:p>
        </w:tc>
      </w:tr>
      <w:tr w14:paraId="363E4EC0">
        <w:tblPrEx>
          <w:tblCellMar>
            <w:top w:w="0" w:type="dxa"/>
            <w:left w:w="108" w:type="dxa"/>
            <w:bottom w:w="0" w:type="dxa"/>
            <w:right w:w="108" w:type="dxa"/>
          </w:tblCellMar>
        </w:tblPrEx>
        <w:trPr>
          <w:trHeight w:val="1400" w:hRule="atLeast"/>
        </w:trPr>
        <w:tc>
          <w:tcPr>
            <w:tcW w:w="841" w:type="dxa"/>
            <w:tcBorders>
              <w:top w:val="nil"/>
              <w:left w:val="double" w:color="auto" w:sz="4" w:space="0"/>
              <w:bottom w:val="single" w:color="auto" w:sz="4" w:space="0"/>
              <w:right w:val="single" w:color="auto" w:sz="4" w:space="0"/>
            </w:tcBorders>
            <w:shd w:val="clear" w:color="auto" w:fill="auto"/>
            <w:noWrap/>
            <w:vAlign w:val="center"/>
          </w:tcPr>
          <w:p w14:paraId="35022066">
            <w:pPr>
              <w:widowControl/>
              <w:jc w:val="center"/>
              <w:rPr>
                <w:rFonts w:ascii="宋体" w:hAnsi="宋体" w:cs="宋体"/>
                <w:kern w:val="0"/>
                <w:sz w:val="21"/>
                <w:szCs w:val="21"/>
              </w:rPr>
            </w:pPr>
            <w:r>
              <w:rPr>
                <w:rFonts w:hint="eastAsia" w:ascii="宋体" w:hAnsi="宋体" w:cs="宋体"/>
                <w:kern w:val="0"/>
                <w:sz w:val="21"/>
                <w:szCs w:val="21"/>
              </w:rPr>
              <w:t>2</w:t>
            </w:r>
          </w:p>
        </w:tc>
        <w:tc>
          <w:tcPr>
            <w:tcW w:w="1984" w:type="dxa"/>
            <w:tcBorders>
              <w:top w:val="nil"/>
              <w:left w:val="nil"/>
              <w:bottom w:val="single" w:color="auto" w:sz="4" w:space="0"/>
              <w:right w:val="single" w:color="auto" w:sz="4" w:space="0"/>
            </w:tcBorders>
            <w:shd w:val="clear" w:color="auto" w:fill="auto"/>
            <w:vAlign w:val="center"/>
          </w:tcPr>
          <w:p w14:paraId="364D5EF1">
            <w:pPr>
              <w:widowControl/>
              <w:jc w:val="left"/>
              <w:rPr>
                <w:rFonts w:ascii="宋体" w:hAnsi="宋体" w:cs="宋体"/>
                <w:kern w:val="0"/>
                <w:sz w:val="21"/>
                <w:szCs w:val="21"/>
              </w:rPr>
            </w:pPr>
            <w:r>
              <w:rPr>
                <w:rFonts w:hint="eastAsia" w:ascii="宋体" w:hAnsi="宋体" w:cs="宋体"/>
                <w:kern w:val="0"/>
                <w:sz w:val="21"/>
                <w:szCs w:val="21"/>
              </w:rPr>
              <w:t>个体工商户另册管理服务完善</w:t>
            </w:r>
          </w:p>
        </w:tc>
        <w:tc>
          <w:tcPr>
            <w:tcW w:w="3969" w:type="dxa"/>
            <w:tcBorders>
              <w:top w:val="nil"/>
              <w:left w:val="nil"/>
              <w:bottom w:val="single" w:color="auto" w:sz="4" w:space="0"/>
              <w:right w:val="single" w:color="auto" w:sz="4" w:space="0"/>
            </w:tcBorders>
            <w:shd w:val="clear" w:color="auto" w:fill="auto"/>
            <w:vAlign w:val="center"/>
          </w:tcPr>
          <w:p w14:paraId="38CC48A3">
            <w:pPr>
              <w:widowControl/>
              <w:jc w:val="left"/>
              <w:rPr>
                <w:rFonts w:ascii="宋体" w:hAnsi="宋体" w:cs="宋体"/>
                <w:kern w:val="0"/>
                <w:sz w:val="21"/>
                <w:szCs w:val="21"/>
              </w:rPr>
            </w:pPr>
            <w:r>
              <w:rPr>
                <w:rFonts w:hint="eastAsia" w:ascii="宋体" w:hAnsi="宋体" w:cs="宋体"/>
                <w:kern w:val="0"/>
                <w:sz w:val="21"/>
                <w:szCs w:val="21"/>
              </w:rPr>
              <w:t>为落实《个体工商户登记管理规定》中的另册管理制度，完善相关管理机制，实现对另册个体工商户的精准分类管理与服务：</w:t>
            </w:r>
            <w:r>
              <w:rPr>
                <w:rFonts w:hint="eastAsia" w:ascii="宋体" w:hAnsi="宋体" w:cs="宋体"/>
                <w:kern w:val="0"/>
                <w:sz w:val="21"/>
                <w:szCs w:val="21"/>
              </w:rPr>
              <w:br w:type="textWrapping"/>
            </w:r>
            <w:r>
              <w:rPr>
                <w:rFonts w:hint="eastAsia" w:ascii="宋体" w:hAnsi="宋体" w:cs="宋体"/>
                <w:kern w:val="0"/>
                <w:sz w:val="21"/>
                <w:szCs w:val="21"/>
              </w:rPr>
              <w:t>1)统计服务完善：在登记统计工作中，分别统计在册与另册主体，确保数据准确可靠，为政策制定提供有效依据。</w:t>
            </w:r>
            <w:r>
              <w:rPr>
                <w:rFonts w:hint="eastAsia" w:ascii="宋体" w:hAnsi="宋体" w:cs="宋体"/>
                <w:kern w:val="0"/>
                <w:sz w:val="21"/>
                <w:szCs w:val="21"/>
              </w:rPr>
              <w:br w:type="textWrapping"/>
            </w:r>
            <w:r>
              <w:rPr>
                <w:rFonts w:hint="eastAsia" w:ascii="宋体" w:hAnsi="宋体" w:cs="宋体"/>
                <w:kern w:val="0"/>
                <w:sz w:val="21"/>
                <w:szCs w:val="21"/>
              </w:rPr>
              <w:t>2)登记服务完善：在办理变更、备案、迁移等业务时，对另册个体工商户提供前端提醒与相应管理。</w:t>
            </w:r>
          </w:p>
        </w:tc>
        <w:tc>
          <w:tcPr>
            <w:tcW w:w="1418" w:type="dxa"/>
            <w:tcBorders>
              <w:top w:val="nil"/>
              <w:left w:val="nil"/>
              <w:bottom w:val="single" w:color="auto" w:sz="4" w:space="0"/>
              <w:right w:val="double" w:color="auto" w:sz="4" w:space="0"/>
            </w:tcBorders>
            <w:shd w:val="clear" w:color="auto" w:fill="auto"/>
            <w:noWrap/>
            <w:vAlign w:val="center"/>
          </w:tcPr>
          <w:p w14:paraId="666434C8">
            <w:pPr>
              <w:widowControl/>
              <w:jc w:val="center"/>
              <w:rPr>
                <w:rFonts w:ascii="宋体" w:hAnsi="宋体" w:cs="宋体"/>
                <w:kern w:val="0"/>
                <w:sz w:val="21"/>
                <w:szCs w:val="21"/>
              </w:rPr>
            </w:pPr>
          </w:p>
        </w:tc>
      </w:tr>
      <w:tr w14:paraId="61F2C0F5">
        <w:tblPrEx>
          <w:tblCellMar>
            <w:top w:w="0" w:type="dxa"/>
            <w:left w:w="108" w:type="dxa"/>
            <w:bottom w:w="0" w:type="dxa"/>
            <w:right w:w="108" w:type="dxa"/>
          </w:tblCellMar>
        </w:tblPrEx>
        <w:trPr>
          <w:trHeight w:val="1120" w:hRule="atLeast"/>
        </w:trPr>
        <w:tc>
          <w:tcPr>
            <w:tcW w:w="841" w:type="dxa"/>
            <w:tcBorders>
              <w:top w:val="nil"/>
              <w:left w:val="double" w:color="auto" w:sz="4" w:space="0"/>
              <w:bottom w:val="single" w:color="auto" w:sz="4" w:space="0"/>
              <w:right w:val="single" w:color="auto" w:sz="4" w:space="0"/>
            </w:tcBorders>
            <w:shd w:val="clear" w:color="auto" w:fill="auto"/>
            <w:noWrap/>
            <w:vAlign w:val="center"/>
          </w:tcPr>
          <w:p w14:paraId="7BB46400">
            <w:pPr>
              <w:widowControl/>
              <w:jc w:val="center"/>
              <w:rPr>
                <w:rFonts w:ascii="宋体" w:hAnsi="宋体" w:cs="宋体"/>
                <w:kern w:val="0"/>
                <w:sz w:val="21"/>
                <w:szCs w:val="21"/>
              </w:rPr>
            </w:pPr>
            <w:r>
              <w:rPr>
                <w:rFonts w:hint="eastAsia" w:ascii="宋体" w:hAnsi="宋体" w:cs="宋体"/>
                <w:kern w:val="0"/>
                <w:sz w:val="21"/>
                <w:szCs w:val="21"/>
              </w:rPr>
              <w:t>3</w:t>
            </w:r>
          </w:p>
        </w:tc>
        <w:tc>
          <w:tcPr>
            <w:tcW w:w="1984" w:type="dxa"/>
            <w:tcBorders>
              <w:top w:val="nil"/>
              <w:left w:val="nil"/>
              <w:bottom w:val="single" w:color="auto" w:sz="4" w:space="0"/>
              <w:right w:val="single" w:color="auto" w:sz="4" w:space="0"/>
            </w:tcBorders>
            <w:shd w:val="clear" w:color="auto" w:fill="auto"/>
            <w:vAlign w:val="center"/>
          </w:tcPr>
          <w:p w14:paraId="767DB885">
            <w:pPr>
              <w:widowControl/>
              <w:jc w:val="left"/>
              <w:rPr>
                <w:rFonts w:ascii="宋体" w:hAnsi="宋体" w:cs="宋体"/>
                <w:kern w:val="0"/>
                <w:sz w:val="21"/>
                <w:szCs w:val="21"/>
              </w:rPr>
            </w:pPr>
            <w:r>
              <w:rPr>
                <w:rFonts w:hint="eastAsia" w:ascii="宋体" w:hAnsi="宋体" w:cs="宋体"/>
                <w:kern w:val="0"/>
                <w:sz w:val="21"/>
                <w:szCs w:val="21"/>
              </w:rPr>
              <w:t>个体工商户注销登记预警服务完善</w:t>
            </w:r>
          </w:p>
        </w:tc>
        <w:tc>
          <w:tcPr>
            <w:tcW w:w="3969" w:type="dxa"/>
            <w:tcBorders>
              <w:top w:val="nil"/>
              <w:left w:val="nil"/>
              <w:bottom w:val="single" w:color="auto" w:sz="4" w:space="0"/>
              <w:right w:val="single" w:color="auto" w:sz="4" w:space="0"/>
            </w:tcBorders>
            <w:shd w:val="clear" w:color="auto" w:fill="auto"/>
            <w:vAlign w:val="center"/>
          </w:tcPr>
          <w:p w14:paraId="5F0E313D">
            <w:pPr>
              <w:widowControl/>
              <w:jc w:val="left"/>
              <w:rPr>
                <w:rFonts w:ascii="宋体" w:hAnsi="宋体" w:cs="宋体"/>
                <w:kern w:val="0"/>
                <w:sz w:val="21"/>
                <w:szCs w:val="21"/>
              </w:rPr>
            </w:pPr>
            <w:r>
              <w:rPr>
                <w:rFonts w:hint="eastAsia" w:ascii="宋体" w:hAnsi="宋体" w:cs="宋体"/>
                <w:kern w:val="0"/>
                <w:sz w:val="21"/>
                <w:szCs w:val="21"/>
              </w:rPr>
              <w:t>在个体工商户办理注销登记过程中，建立与执法办案信息的在线核查与提醒机制。当发现该主体存在未结案的立案调查、正在执行的行政强制或未执行完毕的行政处罚等情况时，自动获取相关数据并在办理界面进行突出提示与风险警示。为登记流程提供有效保障，协助工作人员做出判断，避免涉案主体不当退出，维护市场主体退出机制的严肃性和合规性。</w:t>
            </w:r>
          </w:p>
        </w:tc>
        <w:tc>
          <w:tcPr>
            <w:tcW w:w="1418" w:type="dxa"/>
            <w:tcBorders>
              <w:top w:val="nil"/>
              <w:left w:val="nil"/>
              <w:bottom w:val="single" w:color="auto" w:sz="4" w:space="0"/>
              <w:right w:val="double" w:color="auto" w:sz="4" w:space="0"/>
            </w:tcBorders>
            <w:shd w:val="clear" w:color="auto" w:fill="auto"/>
            <w:noWrap/>
            <w:vAlign w:val="center"/>
          </w:tcPr>
          <w:p w14:paraId="77EF9C20">
            <w:pPr>
              <w:widowControl/>
              <w:jc w:val="center"/>
              <w:rPr>
                <w:rFonts w:ascii="宋体" w:hAnsi="宋体" w:cs="宋体"/>
                <w:kern w:val="0"/>
                <w:sz w:val="21"/>
                <w:szCs w:val="21"/>
              </w:rPr>
            </w:pPr>
          </w:p>
        </w:tc>
      </w:tr>
      <w:tr w14:paraId="534881ED">
        <w:tblPrEx>
          <w:tblCellMar>
            <w:top w:w="0" w:type="dxa"/>
            <w:left w:w="108" w:type="dxa"/>
            <w:bottom w:w="0" w:type="dxa"/>
            <w:right w:w="108" w:type="dxa"/>
          </w:tblCellMar>
        </w:tblPrEx>
        <w:trPr>
          <w:trHeight w:val="280" w:hRule="atLeast"/>
        </w:trPr>
        <w:tc>
          <w:tcPr>
            <w:tcW w:w="6794" w:type="dxa"/>
            <w:gridSpan w:val="3"/>
            <w:tcBorders>
              <w:top w:val="single" w:color="auto" w:sz="4" w:space="0"/>
              <w:left w:val="double" w:color="auto" w:sz="4" w:space="0"/>
              <w:bottom w:val="double" w:color="auto" w:sz="4" w:space="0"/>
              <w:right w:val="single" w:color="auto" w:sz="4" w:space="0"/>
            </w:tcBorders>
            <w:shd w:val="clear" w:color="000000" w:fill="D9D9D9"/>
            <w:noWrap/>
            <w:vAlign w:val="center"/>
          </w:tcPr>
          <w:p w14:paraId="537A4265">
            <w:pPr>
              <w:widowControl/>
              <w:jc w:val="center"/>
              <w:rPr>
                <w:rFonts w:ascii="宋体" w:hAnsi="宋体" w:cs="宋体"/>
                <w:b/>
                <w:bCs/>
                <w:kern w:val="0"/>
                <w:sz w:val="21"/>
                <w:szCs w:val="21"/>
              </w:rPr>
            </w:pPr>
            <w:r>
              <w:rPr>
                <w:rFonts w:hint="eastAsia" w:ascii="宋体" w:hAnsi="宋体" w:cs="宋体"/>
                <w:b/>
                <w:bCs/>
                <w:kern w:val="0"/>
                <w:sz w:val="21"/>
                <w:szCs w:val="21"/>
              </w:rPr>
              <w:t>合计</w:t>
            </w:r>
          </w:p>
        </w:tc>
        <w:tc>
          <w:tcPr>
            <w:tcW w:w="1418" w:type="dxa"/>
            <w:tcBorders>
              <w:top w:val="nil"/>
              <w:left w:val="nil"/>
              <w:bottom w:val="double" w:color="auto" w:sz="4" w:space="0"/>
              <w:right w:val="double" w:color="auto" w:sz="4" w:space="0"/>
            </w:tcBorders>
            <w:shd w:val="clear" w:color="auto" w:fill="auto"/>
            <w:noWrap/>
            <w:vAlign w:val="center"/>
          </w:tcPr>
          <w:p w14:paraId="1B5B7737">
            <w:pPr>
              <w:widowControl/>
              <w:jc w:val="center"/>
              <w:rPr>
                <w:rFonts w:ascii="宋体" w:hAnsi="宋体" w:cs="宋体"/>
                <w:b/>
                <w:bCs/>
                <w:kern w:val="0"/>
                <w:sz w:val="21"/>
                <w:szCs w:val="21"/>
              </w:rPr>
            </w:pPr>
          </w:p>
        </w:tc>
      </w:tr>
    </w:tbl>
    <w:p w14:paraId="13E5413F">
      <w:pPr>
        <w:pStyle w:val="3"/>
        <w:numPr>
          <w:ilvl w:val="1"/>
          <w:numId w:val="2"/>
        </w:numPr>
        <w:ind w:left="0" w:firstLine="0"/>
      </w:pPr>
      <w:r>
        <w:rPr>
          <w:rFonts w:hint="eastAsia"/>
        </w:rPr>
        <w:t>企业跨省迁移服务预算表</w:t>
      </w:r>
    </w:p>
    <w:tbl>
      <w:tblPr>
        <w:tblStyle w:val="8"/>
        <w:tblW w:w="8212" w:type="dxa"/>
        <w:tblInd w:w="-5" w:type="dxa"/>
        <w:tblLayout w:type="autofit"/>
        <w:tblCellMar>
          <w:top w:w="0" w:type="dxa"/>
          <w:left w:w="108" w:type="dxa"/>
          <w:bottom w:w="0" w:type="dxa"/>
          <w:right w:w="108" w:type="dxa"/>
        </w:tblCellMar>
      </w:tblPr>
      <w:tblGrid>
        <w:gridCol w:w="841"/>
        <w:gridCol w:w="1984"/>
        <w:gridCol w:w="3969"/>
        <w:gridCol w:w="1418"/>
      </w:tblGrid>
      <w:tr w14:paraId="2F5AABFE">
        <w:tblPrEx>
          <w:tblCellMar>
            <w:top w:w="0" w:type="dxa"/>
            <w:left w:w="108" w:type="dxa"/>
            <w:bottom w:w="0" w:type="dxa"/>
            <w:right w:w="108" w:type="dxa"/>
          </w:tblCellMar>
        </w:tblPrEx>
        <w:trPr>
          <w:trHeight w:val="730" w:hRule="atLeast"/>
          <w:tblHeader/>
        </w:trPr>
        <w:tc>
          <w:tcPr>
            <w:tcW w:w="841" w:type="dxa"/>
            <w:tcBorders>
              <w:top w:val="double" w:color="auto" w:sz="4" w:space="0"/>
              <w:left w:val="double" w:color="auto" w:sz="4" w:space="0"/>
              <w:bottom w:val="single" w:color="auto" w:sz="4" w:space="0"/>
              <w:right w:val="single" w:color="auto" w:sz="4" w:space="0"/>
            </w:tcBorders>
            <w:shd w:val="clear" w:color="000000" w:fill="D9D9D9"/>
            <w:noWrap/>
            <w:vAlign w:val="center"/>
          </w:tcPr>
          <w:p w14:paraId="7C2FEE8B">
            <w:pPr>
              <w:widowControl/>
              <w:jc w:val="center"/>
              <w:rPr>
                <w:rFonts w:ascii="宋体" w:hAnsi="宋体" w:cs="宋体"/>
                <w:b/>
                <w:bCs/>
                <w:kern w:val="0"/>
                <w:sz w:val="21"/>
                <w:szCs w:val="21"/>
              </w:rPr>
            </w:pPr>
            <w:r>
              <w:rPr>
                <w:rFonts w:hint="eastAsia" w:ascii="宋体" w:hAnsi="宋体" w:cs="宋体"/>
                <w:b/>
                <w:bCs/>
                <w:kern w:val="0"/>
                <w:sz w:val="21"/>
                <w:szCs w:val="21"/>
              </w:rPr>
              <w:t>编号</w:t>
            </w:r>
          </w:p>
        </w:tc>
        <w:tc>
          <w:tcPr>
            <w:tcW w:w="1984" w:type="dxa"/>
            <w:tcBorders>
              <w:top w:val="double" w:color="auto" w:sz="4" w:space="0"/>
              <w:left w:val="nil"/>
              <w:bottom w:val="single" w:color="auto" w:sz="4" w:space="0"/>
              <w:right w:val="single" w:color="auto" w:sz="4" w:space="0"/>
            </w:tcBorders>
            <w:shd w:val="clear" w:color="000000" w:fill="D9D9D9"/>
            <w:vAlign w:val="center"/>
          </w:tcPr>
          <w:p w14:paraId="119D7409">
            <w:pPr>
              <w:widowControl/>
              <w:jc w:val="center"/>
              <w:rPr>
                <w:rFonts w:ascii="宋体" w:hAnsi="宋体" w:cs="宋体"/>
                <w:b/>
                <w:bCs/>
                <w:kern w:val="0"/>
                <w:sz w:val="21"/>
                <w:szCs w:val="21"/>
              </w:rPr>
            </w:pPr>
            <w:r>
              <w:rPr>
                <w:rFonts w:hint="eastAsia" w:ascii="宋体" w:hAnsi="宋体" w:cs="宋体"/>
                <w:b/>
                <w:bCs/>
                <w:kern w:val="0"/>
                <w:sz w:val="21"/>
                <w:szCs w:val="21"/>
              </w:rPr>
              <w:t>项目名称</w:t>
            </w:r>
          </w:p>
        </w:tc>
        <w:tc>
          <w:tcPr>
            <w:tcW w:w="3969" w:type="dxa"/>
            <w:tcBorders>
              <w:top w:val="double" w:color="auto" w:sz="4" w:space="0"/>
              <w:left w:val="nil"/>
              <w:bottom w:val="single" w:color="auto" w:sz="4" w:space="0"/>
              <w:right w:val="single" w:color="auto" w:sz="4" w:space="0"/>
            </w:tcBorders>
            <w:shd w:val="clear" w:color="000000" w:fill="D9D9D9"/>
            <w:vAlign w:val="center"/>
          </w:tcPr>
          <w:p w14:paraId="5981C8F1">
            <w:pPr>
              <w:widowControl/>
              <w:jc w:val="center"/>
              <w:rPr>
                <w:rFonts w:ascii="宋体" w:hAnsi="宋体" w:cs="宋体"/>
                <w:b/>
                <w:bCs/>
                <w:kern w:val="0"/>
                <w:sz w:val="21"/>
                <w:szCs w:val="21"/>
              </w:rPr>
            </w:pPr>
            <w:r>
              <w:rPr>
                <w:rFonts w:hint="eastAsia" w:ascii="宋体" w:hAnsi="宋体" w:cs="宋体"/>
                <w:b/>
                <w:bCs/>
                <w:kern w:val="0"/>
                <w:sz w:val="21"/>
                <w:szCs w:val="21"/>
              </w:rPr>
              <w:t>服务需求及说明</w:t>
            </w:r>
          </w:p>
        </w:tc>
        <w:tc>
          <w:tcPr>
            <w:tcW w:w="1418" w:type="dxa"/>
            <w:tcBorders>
              <w:top w:val="double" w:color="auto" w:sz="4" w:space="0"/>
              <w:left w:val="nil"/>
              <w:bottom w:val="single" w:color="auto" w:sz="4" w:space="0"/>
              <w:right w:val="double" w:color="auto" w:sz="4" w:space="0"/>
            </w:tcBorders>
            <w:shd w:val="clear" w:color="000000" w:fill="D9D9D9"/>
            <w:vAlign w:val="center"/>
          </w:tcPr>
          <w:p w14:paraId="0691A25F">
            <w:pPr>
              <w:widowControl/>
              <w:jc w:val="center"/>
              <w:rPr>
                <w:rFonts w:ascii="宋体" w:hAnsi="宋体" w:cs="宋体"/>
                <w:b/>
                <w:bCs/>
                <w:kern w:val="0"/>
                <w:sz w:val="21"/>
                <w:szCs w:val="21"/>
              </w:rPr>
            </w:pPr>
            <w:r>
              <w:rPr>
                <w:rFonts w:hint="eastAsia" w:ascii="宋体" w:hAnsi="宋体" w:cs="宋体"/>
                <w:b/>
                <w:bCs/>
                <w:kern w:val="0"/>
                <w:sz w:val="21"/>
                <w:szCs w:val="21"/>
              </w:rPr>
              <w:t>金额</w:t>
            </w:r>
            <w:r>
              <w:rPr>
                <w:rFonts w:hint="eastAsia" w:ascii="宋体" w:hAnsi="宋体" w:cs="宋体"/>
                <w:b/>
                <w:bCs/>
                <w:kern w:val="0"/>
                <w:sz w:val="21"/>
                <w:szCs w:val="21"/>
              </w:rPr>
              <w:br w:type="textWrapping"/>
            </w:r>
            <w:r>
              <w:rPr>
                <w:rFonts w:hint="eastAsia" w:ascii="宋体" w:hAnsi="宋体" w:cs="宋体"/>
                <w:b/>
                <w:bCs/>
                <w:kern w:val="0"/>
                <w:sz w:val="21"/>
                <w:szCs w:val="21"/>
              </w:rPr>
              <w:t>（万元）</w:t>
            </w:r>
          </w:p>
        </w:tc>
      </w:tr>
      <w:tr w14:paraId="153D6ECA">
        <w:tblPrEx>
          <w:tblCellMar>
            <w:top w:w="0" w:type="dxa"/>
            <w:left w:w="108" w:type="dxa"/>
            <w:bottom w:w="0" w:type="dxa"/>
            <w:right w:w="108" w:type="dxa"/>
          </w:tblCellMar>
        </w:tblPrEx>
        <w:trPr>
          <w:trHeight w:val="112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2935D965">
            <w:pPr>
              <w:widowControl/>
              <w:jc w:val="center"/>
              <w:rPr>
                <w:rFonts w:ascii="宋体" w:hAnsi="宋体" w:cs="宋体"/>
                <w:kern w:val="0"/>
                <w:sz w:val="21"/>
                <w:szCs w:val="21"/>
              </w:rPr>
            </w:pPr>
            <w:r>
              <w:rPr>
                <w:rFonts w:ascii="宋体" w:hAnsi="宋体" w:cs="宋体"/>
                <w:kern w:val="0"/>
                <w:sz w:val="21"/>
                <w:szCs w:val="21"/>
              </w:rPr>
              <w:t>1</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0616109F">
            <w:pPr>
              <w:widowControl/>
              <w:jc w:val="left"/>
              <w:rPr>
                <w:rFonts w:ascii="宋体" w:hAnsi="宋体" w:cs="宋体"/>
                <w:kern w:val="0"/>
                <w:sz w:val="21"/>
                <w:szCs w:val="21"/>
              </w:rPr>
            </w:pPr>
            <w:r>
              <w:rPr>
                <w:rFonts w:hint="eastAsia" w:ascii="宋体" w:hAnsi="宋体" w:cs="宋体"/>
                <w:kern w:val="0"/>
                <w:sz w:val="21"/>
                <w:szCs w:val="21"/>
              </w:rPr>
              <w:t>跨省迁移网上申报全程网办服务</w:t>
            </w:r>
          </w:p>
        </w:tc>
        <w:tc>
          <w:tcPr>
            <w:tcW w:w="3969" w:type="dxa"/>
            <w:tcBorders>
              <w:top w:val="nil"/>
              <w:left w:val="nil"/>
              <w:bottom w:val="single" w:color="auto" w:sz="4" w:space="0"/>
              <w:right w:val="single" w:color="auto" w:sz="4" w:space="0"/>
            </w:tcBorders>
            <w:shd w:val="clear" w:color="auto" w:fill="auto"/>
            <w:vAlign w:val="center"/>
          </w:tcPr>
          <w:p w14:paraId="435BF6BE">
            <w:pPr>
              <w:widowControl/>
              <w:jc w:val="left"/>
              <w:rPr>
                <w:rFonts w:ascii="宋体" w:hAnsi="宋体" w:cs="宋体"/>
                <w:kern w:val="0"/>
                <w:sz w:val="21"/>
                <w:szCs w:val="21"/>
              </w:rPr>
            </w:pPr>
            <w:r>
              <w:rPr>
                <w:rFonts w:hint="eastAsia" w:ascii="宋体" w:hAnsi="宋体" w:cs="宋体"/>
                <w:kern w:val="0"/>
                <w:sz w:val="21"/>
                <w:szCs w:val="21"/>
              </w:rPr>
              <w:t>为内资有限责任公司提供跨省迁移全程网办服务，全面涵盖“外省市准迁入登记”、“外省市迁入登记”及“迁往外省市登记”等环节。依托跨省数据共享机制，自动获取外省市企业的准迁与登记信息，并将本地迁出企业数据推送至全国平台。此举有助于打通跨省业务数据壁垒，为企业提供无缝迁移服务，提升政务协同效率和用户体验。</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35337913">
            <w:pPr>
              <w:widowControl/>
              <w:jc w:val="center"/>
              <w:rPr>
                <w:rFonts w:ascii="宋体" w:hAnsi="宋体" w:cs="宋体"/>
                <w:kern w:val="0"/>
                <w:sz w:val="21"/>
                <w:szCs w:val="21"/>
              </w:rPr>
            </w:pPr>
          </w:p>
        </w:tc>
      </w:tr>
      <w:tr w14:paraId="3B6FEE42">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1B1266C0">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3C4E2404">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0B2C7D3">
            <w:pPr>
              <w:widowControl/>
              <w:jc w:val="left"/>
              <w:rPr>
                <w:rFonts w:ascii="宋体" w:hAnsi="宋体" w:cs="宋体"/>
                <w:kern w:val="0"/>
                <w:sz w:val="21"/>
                <w:szCs w:val="21"/>
              </w:rPr>
            </w:pPr>
            <w:r>
              <w:rPr>
                <w:rFonts w:hint="eastAsia" w:ascii="宋体" w:hAnsi="宋体" w:cs="宋体"/>
                <w:kern w:val="0"/>
                <w:sz w:val="21"/>
                <w:szCs w:val="21"/>
              </w:rPr>
              <w:t>为内资股份有限公司提供跨省迁移全程网办服务，全面涵盖“外省市准迁入登记”、“外省市迁入登记”及“迁往外省市登记”等环节。依托跨省数据共享机制，自动获取外省市企业的准迁与登记信息，并将本地迁出企业数据推送至全国平台。此举有助于打通跨省业务数据壁垒，为企业提供无缝迁移服务，提升政务协同效率和用户体验。</w:t>
            </w:r>
          </w:p>
        </w:tc>
        <w:tc>
          <w:tcPr>
            <w:tcW w:w="1418" w:type="dxa"/>
            <w:vMerge w:val="continue"/>
            <w:tcBorders>
              <w:top w:val="nil"/>
              <w:left w:val="single" w:color="auto" w:sz="4" w:space="0"/>
              <w:bottom w:val="single" w:color="000000" w:sz="4" w:space="0"/>
              <w:right w:val="double" w:color="auto" w:sz="4" w:space="0"/>
            </w:tcBorders>
            <w:vAlign w:val="center"/>
          </w:tcPr>
          <w:p w14:paraId="719F859B">
            <w:pPr>
              <w:widowControl/>
              <w:jc w:val="left"/>
              <w:rPr>
                <w:rFonts w:ascii="宋体" w:hAnsi="宋体" w:cs="宋体"/>
                <w:kern w:val="0"/>
                <w:sz w:val="21"/>
                <w:szCs w:val="21"/>
              </w:rPr>
            </w:pPr>
          </w:p>
        </w:tc>
      </w:tr>
      <w:tr w14:paraId="561AD14A">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64F3C02F">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616019E5">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3080E9D5">
            <w:pPr>
              <w:widowControl/>
              <w:jc w:val="left"/>
              <w:rPr>
                <w:rFonts w:ascii="宋体" w:hAnsi="宋体" w:cs="宋体"/>
                <w:kern w:val="0"/>
                <w:sz w:val="21"/>
                <w:szCs w:val="21"/>
              </w:rPr>
            </w:pPr>
            <w:r>
              <w:rPr>
                <w:rFonts w:hint="eastAsia" w:ascii="宋体" w:hAnsi="宋体" w:cs="宋体"/>
                <w:kern w:val="0"/>
                <w:sz w:val="21"/>
                <w:szCs w:val="21"/>
              </w:rPr>
              <w:t>为外资有限责任公司提供跨省迁移全程网办服务，全面涵盖“外省市准迁入登记”、“外省市迁入登记”及“迁往外省市登记”等环节。依托跨省数据共享机制，自动获取外省市企业的准迁与登记信息，并将本地迁出企业数据推送至全国平台。此举有助于打通跨省业务数据壁垒，为企业提供无缝迁移服务，提升政务协同效率和用户体验。</w:t>
            </w:r>
          </w:p>
        </w:tc>
        <w:tc>
          <w:tcPr>
            <w:tcW w:w="1418" w:type="dxa"/>
            <w:vMerge w:val="continue"/>
            <w:tcBorders>
              <w:top w:val="nil"/>
              <w:left w:val="single" w:color="auto" w:sz="4" w:space="0"/>
              <w:bottom w:val="single" w:color="000000" w:sz="4" w:space="0"/>
              <w:right w:val="double" w:color="auto" w:sz="4" w:space="0"/>
            </w:tcBorders>
            <w:vAlign w:val="center"/>
          </w:tcPr>
          <w:p w14:paraId="1B240F1A">
            <w:pPr>
              <w:widowControl/>
              <w:jc w:val="left"/>
              <w:rPr>
                <w:rFonts w:ascii="宋体" w:hAnsi="宋体" w:cs="宋体"/>
                <w:kern w:val="0"/>
                <w:sz w:val="21"/>
                <w:szCs w:val="21"/>
              </w:rPr>
            </w:pPr>
          </w:p>
        </w:tc>
      </w:tr>
      <w:tr w14:paraId="16F9BDC9">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0625C0D2">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333E4E02">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221230B2">
            <w:pPr>
              <w:widowControl/>
              <w:jc w:val="left"/>
              <w:rPr>
                <w:rFonts w:ascii="宋体" w:hAnsi="宋体" w:cs="宋体"/>
                <w:kern w:val="0"/>
                <w:sz w:val="21"/>
                <w:szCs w:val="21"/>
              </w:rPr>
            </w:pPr>
            <w:r>
              <w:rPr>
                <w:rFonts w:hint="eastAsia" w:ascii="宋体" w:hAnsi="宋体" w:cs="宋体"/>
                <w:kern w:val="0"/>
                <w:sz w:val="21"/>
                <w:szCs w:val="21"/>
              </w:rPr>
              <w:t>为外资股份有限公司提供跨省迁移全程网办服务，全面涵盖“外省市准迁入登记”、“外省市迁入登记”及“迁往外省市登记”等环节。依托跨省数据共享机制，自动获取外省市企业的准迁与登记信息，并将本地迁出企业数据推送至全国平台。此举有助于打通跨省业务数据壁垒，为企业提供无缝迁移服务，提升政务协同效率和用户体验。</w:t>
            </w:r>
          </w:p>
        </w:tc>
        <w:tc>
          <w:tcPr>
            <w:tcW w:w="1418" w:type="dxa"/>
            <w:vMerge w:val="continue"/>
            <w:tcBorders>
              <w:top w:val="nil"/>
              <w:left w:val="single" w:color="auto" w:sz="4" w:space="0"/>
              <w:bottom w:val="single" w:color="000000" w:sz="4" w:space="0"/>
              <w:right w:val="double" w:color="auto" w:sz="4" w:space="0"/>
            </w:tcBorders>
            <w:vAlign w:val="center"/>
          </w:tcPr>
          <w:p w14:paraId="3C3B3FD2">
            <w:pPr>
              <w:widowControl/>
              <w:jc w:val="left"/>
              <w:rPr>
                <w:rFonts w:ascii="宋体" w:hAnsi="宋体" w:cs="宋体"/>
                <w:kern w:val="0"/>
                <w:sz w:val="21"/>
                <w:szCs w:val="21"/>
              </w:rPr>
            </w:pPr>
          </w:p>
        </w:tc>
      </w:tr>
      <w:tr w14:paraId="7766F1E7">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1A7A2CBF">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3D37349">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1722E73">
            <w:pPr>
              <w:widowControl/>
              <w:jc w:val="left"/>
              <w:rPr>
                <w:rFonts w:ascii="宋体" w:hAnsi="宋体" w:cs="宋体"/>
                <w:kern w:val="0"/>
                <w:sz w:val="21"/>
                <w:szCs w:val="21"/>
              </w:rPr>
            </w:pPr>
            <w:r>
              <w:rPr>
                <w:rFonts w:hint="eastAsia" w:ascii="宋体" w:hAnsi="宋体" w:cs="宋体"/>
                <w:kern w:val="0"/>
                <w:sz w:val="21"/>
                <w:szCs w:val="21"/>
              </w:rPr>
              <w:t>为非公司企业法人提供跨省迁移全程网办服务，全面涵盖“外省市准迁入登记”、“外省市迁入登记”及“迁往外省市登记”等环节。依托跨省数据共享机制，自动获取外省市企业的准迁与登记信息，并将本地迁出企业数据推送至全国平台。此举有助于打通跨省业务数据壁垒，为企业提供无缝迁移服务，提升政务协同效率和用户体验。</w:t>
            </w:r>
          </w:p>
        </w:tc>
        <w:tc>
          <w:tcPr>
            <w:tcW w:w="1418" w:type="dxa"/>
            <w:vMerge w:val="continue"/>
            <w:tcBorders>
              <w:top w:val="nil"/>
              <w:left w:val="single" w:color="auto" w:sz="4" w:space="0"/>
              <w:bottom w:val="single" w:color="000000" w:sz="4" w:space="0"/>
              <w:right w:val="double" w:color="auto" w:sz="4" w:space="0"/>
            </w:tcBorders>
            <w:vAlign w:val="center"/>
          </w:tcPr>
          <w:p w14:paraId="13BCE2D2">
            <w:pPr>
              <w:widowControl/>
              <w:jc w:val="left"/>
              <w:rPr>
                <w:rFonts w:ascii="宋体" w:hAnsi="宋体" w:cs="宋体"/>
                <w:kern w:val="0"/>
                <w:sz w:val="21"/>
                <w:szCs w:val="21"/>
              </w:rPr>
            </w:pPr>
          </w:p>
        </w:tc>
      </w:tr>
      <w:tr w14:paraId="1814523B">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755C4FF2">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31D9D7A8">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24A6230F">
            <w:pPr>
              <w:widowControl/>
              <w:jc w:val="left"/>
              <w:rPr>
                <w:rFonts w:ascii="宋体" w:hAnsi="宋体" w:cs="宋体"/>
                <w:kern w:val="0"/>
                <w:sz w:val="21"/>
                <w:szCs w:val="21"/>
              </w:rPr>
            </w:pPr>
            <w:r>
              <w:rPr>
                <w:rFonts w:hint="eastAsia" w:ascii="宋体" w:hAnsi="宋体" w:cs="宋体"/>
                <w:kern w:val="0"/>
                <w:sz w:val="21"/>
                <w:szCs w:val="21"/>
              </w:rPr>
              <w:t>为内资合伙企业提供跨省迁移全程网办服务，全面涵盖“外省市准迁入登记”、“外省市迁入登记”及“迁往外省市登记”等环节。依托跨省数据共享机制，自动获取外省市企业的准迁与登记信息，并将本地迁出企业数据推送至全国平台。此举有助于打通跨省业务数据壁垒，为企业提供无缝迁移服务，提升政务协同效率和用户体验。</w:t>
            </w:r>
          </w:p>
        </w:tc>
        <w:tc>
          <w:tcPr>
            <w:tcW w:w="1418" w:type="dxa"/>
            <w:vMerge w:val="continue"/>
            <w:tcBorders>
              <w:top w:val="nil"/>
              <w:left w:val="single" w:color="auto" w:sz="4" w:space="0"/>
              <w:bottom w:val="single" w:color="000000" w:sz="4" w:space="0"/>
              <w:right w:val="double" w:color="auto" w:sz="4" w:space="0"/>
            </w:tcBorders>
            <w:vAlign w:val="center"/>
          </w:tcPr>
          <w:p w14:paraId="2EAEEB91">
            <w:pPr>
              <w:widowControl/>
              <w:jc w:val="left"/>
              <w:rPr>
                <w:rFonts w:ascii="宋体" w:hAnsi="宋体" w:cs="宋体"/>
                <w:kern w:val="0"/>
                <w:sz w:val="21"/>
                <w:szCs w:val="21"/>
              </w:rPr>
            </w:pPr>
          </w:p>
        </w:tc>
      </w:tr>
      <w:tr w14:paraId="57C70AAC">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7596BE49">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670AEED8">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4989A873">
            <w:pPr>
              <w:widowControl/>
              <w:jc w:val="left"/>
              <w:rPr>
                <w:rFonts w:ascii="宋体" w:hAnsi="宋体" w:cs="宋体"/>
                <w:kern w:val="0"/>
                <w:sz w:val="21"/>
                <w:szCs w:val="21"/>
              </w:rPr>
            </w:pPr>
            <w:r>
              <w:rPr>
                <w:rFonts w:hint="eastAsia" w:ascii="宋体" w:hAnsi="宋体" w:cs="宋体"/>
                <w:kern w:val="0"/>
                <w:sz w:val="21"/>
                <w:szCs w:val="21"/>
              </w:rPr>
              <w:t>为外资合伙企业提供跨省迁移全程网办服务，全面涵盖“外省市准迁入登记”、“外省市迁入登记”及“迁往外省市登记”等环节。依托跨省数据共享机制，自动获取外省市企业的准迁与登记信息，并将本地迁出企业数据推送至全国平台。此举有助于打通跨省业务数据壁垒，为企业提供无缝迁移服务，提升政务协同效率和用户体验。</w:t>
            </w:r>
          </w:p>
        </w:tc>
        <w:tc>
          <w:tcPr>
            <w:tcW w:w="1418" w:type="dxa"/>
            <w:vMerge w:val="continue"/>
            <w:tcBorders>
              <w:top w:val="nil"/>
              <w:left w:val="single" w:color="auto" w:sz="4" w:space="0"/>
              <w:bottom w:val="single" w:color="000000" w:sz="4" w:space="0"/>
              <w:right w:val="double" w:color="auto" w:sz="4" w:space="0"/>
            </w:tcBorders>
            <w:vAlign w:val="center"/>
          </w:tcPr>
          <w:p w14:paraId="149774E6">
            <w:pPr>
              <w:widowControl/>
              <w:jc w:val="left"/>
              <w:rPr>
                <w:rFonts w:ascii="宋体" w:hAnsi="宋体" w:cs="宋体"/>
                <w:kern w:val="0"/>
                <w:sz w:val="21"/>
                <w:szCs w:val="21"/>
              </w:rPr>
            </w:pPr>
          </w:p>
        </w:tc>
      </w:tr>
      <w:tr w14:paraId="51F1871D">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0B96A760">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79D1C9B">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674C848">
            <w:pPr>
              <w:widowControl/>
              <w:jc w:val="left"/>
              <w:rPr>
                <w:rFonts w:ascii="宋体" w:hAnsi="宋体" w:cs="宋体"/>
                <w:kern w:val="0"/>
                <w:sz w:val="21"/>
                <w:szCs w:val="21"/>
              </w:rPr>
            </w:pPr>
            <w:r>
              <w:rPr>
                <w:rFonts w:hint="eastAsia" w:ascii="宋体" w:hAnsi="宋体" w:cs="宋体"/>
                <w:kern w:val="0"/>
                <w:sz w:val="21"/>
                <w:szCs w:val="21"/>
              </w:rPr>
              <w:t>为个人独资企业提供跨省迁移全程网办服务，全面涵盖“外省市准迁入登记”、“外省市迁入登记”及“迁往外省市登记”等环节。依托跨省数据共享机制，自动获取外省市企业的准迁与登记信息，并将本地迁出企业数据推送至全国平台。此举有助于打通跨省业务数据壁垒，为企业提供无缝迁移服务，提升政务协同效率和用户体验。</w:t>
            </w:r>
          </w:p>
        </w:tc>
        <w:tc>
          <w:tcPr>
            <w:tcW w:w="1418" w:type="dxa"/>
            <w:vMerge w:val="continue"/>
            <w:tcBorders>
              <w:top w:val="nil"/>
              <w:left w:val="single" w:color="auto" w:sz="4" w:space="0"/>
              <w:bottom w:val="single" w:color="000000" w:sz="4" w:space="0"/>
              <w:right w:val="double" w:color="auto" w:sz="4" w:space="0"/>
            </w:tcBorders>
            <w:vAlign w:val="center"/>
          </w:tcPr>
          <w:p w14:paraId="6034E3E7">
            <w:pPr>
              <w:widowControl/>
              <w:jc w:val="left"/>
              <w:rPr>
                <w:rFonts w:ascii="宋体" w:hAnsi="宋体" w:cs="宋体"/>
                <w:kern w:val="0"/>
                <w:sz w:val="21"/>
                <w:szCs w:val="21"/>
              </w:rPr>
            </w:pPr>
          </w:p>
        </w:tc>
      </w:tr>
      <w:tr w14:paraId="71549D97">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562C3BEA">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1EB77453">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60F4A6B3">
            <w:pPr>
              <w:widowControl/>
              <w:jc w:val="left"/>
              <w:rPr>
                <w:rFonts w:ascii="宋体" w:hAnsi="宋体" w:cs="宋体"/>
                <w:kern w:val="0"/>
                <w:sz w:val="21"/>
                <w:szCs w:val="21"/>
              </w:rPr>
            </w:pPr>
            <w:r>
              <w:rPr>
                <w:rFonts w:hint="eastAsia" w:ascii="宋体" w:hAnsi="宋体" w:cs="宋体"/>
                <w:kern w:val="0"/>
                <w:sz w:val="21"/>
                <w:szCs w:val="21"/>
              </w:rPr>
              <w:t>为分公司、分支机构提供跨省迁移全程网办服务，全面涵盖“外省市准迁入登记”、“外省市迁入登记”及“迁往外省市登记”等环节。依托跨省数据共享机制，自动获取外省市企业的准迁与登记信息，并将本地迁出企业数据推送至全国平台。此举有助于打通跨省业务数据壁垒，为企业提供无缝迁移服务，提升政务协同效率和用户体验。</w:t>
            </w:r>
          </w:p>
        </w:tc>
        <w:tc>
          <w:tcPr>
            <w:tcW w:w="1418" w:type="dxa"/>
            <w:vMerge w:val="continue"/>
            <w:tcBorders>
              <w:top w:val="nil"/>
              <w:left w:val="single" w:color="auto" w:sz="4" w:space="0"/>
              <w:bottom w:val="single" w:color="000000" w:sz="4" w:space="0"/>
              <w:right w:val="double" w:color="auto" w:sz="4" w:space="0"/>
            </w:tcBorders>
            <w:vAlign w:val="center"/>
          </w:tcPr>
          <w:p w14:paraId="1004AF83">
            <w:pPr>
              <w:widowControl/>
              <w:jc w:val="left"/>
              <w:rPr>
                <w:rFonts w:ascii="宋体" w:hAnsi="宋体" w:cs="宋体"/>
                <w:kern w:val="0"/>
                <w:sz w:val="21"/>
                <w:szCs w:val="21"/>
              </w:rPr>
            </w:pPr>
          </w:p>
        </w:tc>
      </w:tr>
      <w:tr w14:paraId="090AA283">
        <w:tblPrEx>
          <w:tblCellMar>
            <w:top w:w="0" w:type="dxa"/>
            <w:left w:w="108" w:type="dxa"/>
            <w:bottom w:w="0" w:type="dxa"/>
            <w:right w:w="108" w:type="dxa"/>
          </w:tblCellMar>
        </w:tblPrEx>
        <w:trPr>
          <w:trHeight w:val="560" w:hRule="atLeast"/>
        </w:trPr>
        <w:tc>
          <w:tcPr>
            <w:tcW w:w="841" w:type="dxa"/>
            <w:tcBorders>
              <w:top w:val="nil"/>
              <w:left w:val="double" w:color="auto" w:sz="4" w:space="0"/>
              <w:bottom w:val="single" w:color="auto" w:sz="4" w:space="0"/>
              <w:right w:val="single" w:color="auto" w:sz="4" w:space="0"/>
            </w:tcBorders>
            <w:shd w:val="clear" w:color="auto" w:fill="auto"/>
            <w:noWrap/>
            <w:vAlign w:val="center"/>
          </w:tcPr>
          <w:p w14:paraId="223F9AF8">
            <w:pPr>
              <w:widowControl/>
              <w:jc w:val="center"/>
              <w:rPr>
                <w:rFonts w:ascii="宋体" w:hAnsi="宋体" w:cs="宋体"/>
                <w:kern w:val="0"/>
                <w:sz w:val="21"/>
                <w:szCs w:val="21"/>
              </w:rPr>
            </w:pPr>
            <w:r>
              <w:rPr>
                <w:rFonts w:ascii="宋体" w:hAnsi="宋体" w:cs="宋体"/>
                <w:kern w:val="0"/>
                <w:sz w:val="21"/>
                <w:szCs w:val="21"/>
              </w:rPr>
              <w:t>2</w:t>
            </w:r>
          </w:p>
        </w:tc>
        <w:tc>
          <w:tcPr>
            <w:tcW w:w="1984" w:type="dxa"/>
            <w:tcBorders>
              <w:top w:val="nil"/>
              <w:left w:val="nil"/>
              <w:bottom w:val="single" w:color="auto" w:sz="4" w:space="0"/>
              <w:right w:val="single" w:color="auto" w:sz="4" w:space="0"/>
            </w:tcBorders>
            <w:shd w:val="clear" w:color="auto" w:fill="auto"/>
            <w:vAlign w:val="center"/>
          </w:tcPr>
          <w:p w14:paraId="1DABF969">
            <w:pPr>
              <w:widowControl/>
              <w:jc w:val="left"/>
              <w:rPr>
                <w:rFonts w:ascii="宋体" w:hAnsi="宋体" w:cs="宋体"/>
                <w:kern w:val="0"/>
                <w:sz w:val="21"/>
                <w:szCs w:val="21"/>
              </w:rPr>
            </w:pPr>
            <w:r>
              <w:rPr>
                <w:rFonts w:hint="eastAsia" w:ascii="宋体" w:hAnsi="宋体" w:cs="宋体"/>
                <w:kern w:val="0"/>
                <w:sz w:val="21"/>
                <w:szCs w:val="21"/>
              </w:rPr>
              <w:t>跨省迁移登记全程网办核准服务</w:t>
            </w:r>
          </w:p>
        </w:tc>
        <w:tc>
          <w:tcPr>
            <w:tcW w:w="3969" w:type="dxa"/>
            <w:tcBorders>
              <w:top w:val="nil"/>
              <w:left w:val="nil"/>
              <w:bottom w:val="single" w:color="auto" w:sz="4" w:space="0"/>
              <w:right w:val="single" w:color="auto" w:sz="4" w:space="0"/>
            </w:tcBorders>
            <w:shd w:val="clear" w:color="auto" w:fill="auto"/>
            <w:vAlign w:val="center"/>
          </w:tcPr>
          <w:p w14:paraId="3EE92A44">
            <w:pPr>
              <w:widowControl/>
              <w:jc w:val="left"/>
              <w:rPr>
                <w:rFonts w:ascii="宋体" w:hAnsi="宋体" w:cs="宋体"/>
                <w:kern w:val="0"/>
                <w:sz w:val="21"/>
                <w:szCs w:val="21"/>
              </w:rPr>
            </w:pPr>
            <w:r>
              <w:rPr>
                <w:rFonts w:hint="eastAsia" w:ascii="宋体" w:hAnsi="宋体" w:cs="宋体"/>
                <w:kern w:val="0"/>
                <w:sz w:val="21"/>
                <w:szCs w:val="21"/>
              </w:rPr>
              <w:t>为企业跨省迁移登记提供全程网办核准服务，涵盖外省市准迁入、迁入与迁出登记的线上核准环节，支持跨省迁移业务实现标准化、电子化和高效办理。</w:t>
            </w:r>
          </w:p>
        </w:tc>
        <w:tc>
          <w:tcPr>
            <w:tcW w:w="1418" w:type="dxa"/>
            <w:tcBorders>
              <w:top w:val="nil"/>
              <w:left w:val="nil"/>
              <w:bottom w:val="single" w:color="auto" w:sz="4" w:space="0"/>
              <w:right w:val="double" w:color="auto" w:sz="4" w:space="0"/>
            </w:tcBorders>
            <w:shd w:val="clear" w:color="auto" w:fill="auto"/>
            <w:noWrap/>
            <w:vAlign w:val="center"/>
          </w:tcPr>
          <w:p w14:paraId="471A2331">
            <w:pPr>
              <w:widowControl/>
              <w:jc w:val="center"/>
              <w:rPr>
                <w:rFonts w:ascii="宋体" w:hAnsi="宋体" w:cs="宋体"/>
                <w:kern w:val="0"/>
                <w:sz w:val="21"/>
                <w:szCs w:val="21"/>
              </w:rPr>
            </w:pPr>
          </w:p>
        </w:tc>
      </w:tr>
      <w:tr w14:paraId="1A786E14">
        <w:tblPrEx>
          <w:tblCellMar>
            <w:top w:w="0" w:type="dxa"/>
            <w:left w:w="108" w:type="dxa"/>
            <w:bottom w:w="0" w:type="dxa"/>
            <w:right w:w="108" w:type="dxa"/>
          </w:tblCellMar>
        </w:tblPrEx>
        <w:trPr>
          <w:trHeight w:val="560" w:hRule="atLeast"/>
        </w:trPr>
        <w:tc>
          <w:tcPr>
            <w:tcW w:w="841" w:type="dxa"/>
            <w:tcBorders>
              <w:top w:val="nil"/>
              <w:left w:val="double" w:color="auto" w:sz="4" w:space="0"/>
              <w:bottom w:val="single" w:color="auto" w:sz="4" w:space="0"/>
              <w:right w:val="single" w:color="auto" w:sz="4" w:space="0"/>
            </w:tcBorders>
            <w:shd w:val="clear" w:color="auto" w:fill="auto"/>
            <w:noWrap/>
            <w:vAlign w:val="center"/>
          </w:tcPr>
          <w:p w14:paraId="1D050AEC">
            <w:pPr>
              <w:widowControl/>
              <w:jc w:val="center"/>
              <w:rPr>
                <w:rFonts w:ascii="宋体" w:hAnsi="宋体" w:cs="宋体"/>
                <w:kern w:val="0"/>
                <w:sz w:val="21"/>
                <w:szCs w:val="21"/>
              </w:rPr>
            </w:pPr>
            <w:r>
              <w:rPr>
                <w:rFonts w:ascii="宋体" w:hAnsi="宋体" w:cs="宋体"/>
                <w:kern w:val="0"/>
                <w:sz w:val="21"/>
                <w:szCs w:val="21"/>
              </w:rPr>
              <w:t>3</w:t>
            </w:r>
          </w:p>
        </w:tc>
        <w:tc>
          <w:tcPr>
            <w:tcW w:w="1984" w:type="dxa"/>
            <w:tcBorders>
              <w:top w:val="nil"/>
              <w:left w:val="nil"/>
              <w:bottom w:val="single" w:color="auto" w:sz="4" w:space="0"/>
              <w:right w:val="single" w:color="auto" w:sz="4" w:space="0"/>
            </w:tcBorders>
            <w:shd w:val="clear" w:color="auto" w:fill="auto"/>
            <w:vAlign w:val="center"/>
          </w:tcPr>
          <w:p w14:paraId="6B5ABB58">
            <w:pPr>
              <w:widowControl/>
              <w:jc w:val="left"/>
              <w:rPr>
                <w:rFonts w:ascii="宋体" w:hAnsi="宋体" w:cs="宋体"/>
                <w:kern w:val="0"/>
                <w:sz w:val="21"/>
                <w:szCs w:val="21"/>
              </w:rPr>
            </w:pPr>
            <w:r>
              <w:rPr>
                <w:rFonts w:hint="eastAsia" w:ascii="宋体" w:hAnsi="宋体" w:cs="宋体"/>
                <w:kern w:val="0"/>
                <w:sz w:val="21"/>
                <w:szCs w:val="21"/>
              </w:rPr>
              <w:t>跨省迁移数据汇聚共享</w:t>
            </w:r>
          </w:p>
        </w:tc>
        <w:tc>
          <w:tcPr>
            <w:tcW w:w="3969" w:type="dxa"/>
            <w:tcBorders>
              <w:top w:val="nil"/>
              <w:left w:val="nil"/>
              <w:bottom w:val="single" w:color="auto" w:sz="4" w:space="0"/>
              <w:right w:val="single" w:color="auto" w:sz="4" w:space="0"/>
            </w:tcBorders>
            <w:shd w:val="clear" w:color="auto" w:fill="auto"/>
            <w:vAlign w:val="center"/>
          </w:tcPr>
          <w:p w14:paraId="620EA5FC">
            <w:pPr>
              <w:widowControl/>
              <w:jc w:val="left"/>
              <w:rPr>
                <w:rFonts w:ascii="宋体" w:hAnsi="宋体" w:cs="宋体"/>
                <w:kern w:val="0"/>
                <w:sz w:val="21"/>
                <w:szCs w:val="21"/>
              </w:rPr>
            </w:pPr>
            <w:r>
              <w:rPr>
                <w:rFonts w:hint="eastAsia" w:ascii="宋体" w:hAnsi="宋体" w:cs="宋体"/>
                <w:kern w:val="0"/>
                <w:sz w:val="21"/>
                <w:szCs w:val="21"/>
              </w:rPr>
              <w:t>根据跨省迁移对接机制，建立数据互联通道，实现与外省市企业登记和监管信息的双向共享，为跨省迁移业务提供数据协同与风险管控支持。</w:t>
            </w:r>
          </w:p>
        </w:tc>
        <w:tc>
          <w:tcPr>
            <w:tcW w:w="1418" w:type="dxa"/>
            <w:tcBorders>
              <w:top w:val="nil"/>
              <w:left w:val="nil"/>
              <w:bottom w:val="single" w:color="auto" w:sz="4" w:space="0"/>
              <w:right w:val="double" w:color="auto" w:sz="4" w:space="0"/>
            </w:tcBorders>
            <w:shd w:val="clear" w:color="auto" w:fill="auto"/>
            <w:noWrap/>
            <w:vAlign w:val="center"/>
          </w:tcPr>
          <w:p w14:paraId="14D97D6C">
            <w:pPr>
              <w:widowControl/>
              <w:jc w:val="center"/>
              <w:rPr>
                <w:rFonts w:ascii="宋体" w:hAnsi="宋体" w:cs="宋体"/>
                <w:kern w:val="0"/>
                <w:sz w:val="21"/>
                <w:szCs w:val="21"/>
              </w:rPr>
            </w:pPr>
          </w:p>
        </w:tc>
      </w:tr>
      <w:tr w14:paraId="2E22AD41">
        <w:tblPrEx>
          <w:tblCellMar>
            <w:top w:w="0" w:type="dxa"/>
            <w:left w:w="108" w:type="dxa"/>
            <w:bottom w:w="0" w:type="dxa"/>
            <w:right w:w="108" w:type="dxa"/>
          </w:tblCellMar>
        </w:tblPrEx>
        <w:trPr>
          <w:trHeight w:val="280" w:hRule="atLeast"/>
        </w:trPr>
        <w:tc>
          <w:tcPr>
            <w:tcW w:w="6794" w:type="dxa"/>
            <w:gridSpan w:val="3"/>
            <w:tcBorders>
              <w:top w:val="single" w:color="auto" w:sz="4" w:space="0"/>
              <w:left w:val="double" w:color="auto" w:sz="4" w:space="0"/>
              <w:bottom w:val="double" w:color="auto" w:sz="4" w:space="0"/>
              <w:right w:val="single" w:color="auto" w:sz="4" w:space="0"/>
            </w:tcBorders>
            <w:shd w:val="clear" w:color="000000" w:fill="D9D9D9"/>
            <w:noWrap/>
            <w:vAlign w:val="center"/>
          </w:tcPr>
          <w:p w14:paraId="3DBDCAFB">
            <w:pPr>
              <w:widowControl/>
              <w:jc w:val="center"/>
              <w:rPr>
                <w:rFonts w:ascii="宋体" w:hAnsi="宋体" w:cs="宋体"/>
                <w:b/>
                <w:bCs/>
                <w:kern w:val="0"/>
                <w:sz w:val="21"/>
                <w:szCs w:val="21"/>
              </w:rPr>
            </w:pPr>
            <w:r>
              <w:rPr>
                <w:rFonts w:hint="eastAsia" w:ascii="宋体" w:hAnsi="宋体" w:cs="宋体"/>
                <w:b/>
                <w:bCs/>
                <w:kern w:val="0"/>
                <w:sz w:val="21"/>
                <w:szCs w:val="21"/>
              </w:rPr>
              <w:t>合计</w:t>
            </w:r>
          </w:p>
        </w:tc>
        <w:tc>
          <w:tcPr>
            <w:tcW w:w="1418" w:type="dxa"/>
            <w:tcBorders>
              <w:top w:val="nil"/>
              <w:left w:val="nil"/>
              <w:bottom w:val="double" w:color="auto" w:sz="4" w:space="0"/>
              <w:right w:val="double" w:color="auto" w:sz="4" w:space="0"/>
            </w:tcBorders>
            <w:shd w:val="clear" w:color="auto" w:fill="auto"/>
            <w:noWrap/>
            <w:vAlign w:val="center"/>
          </w:tcPr>
          <w:p w14:paraId="142C48A1">
            <w:pPr>
              <w:widowControl/>
              <w:jc w:val="center"/>
              <w:rPr>
                <w:rFonts w:ascii="宋体" w:hAnsi="宋体" w:cs="宋体"/>
                <w:b/>
                <w:bCs/>
                <w:kern w:val="0"/>
                <w:sz w:val="21"/>
                <w:szCs w:val="21"/>
              </w:rPr>
            </w:pPr>
          </w:p>
        </w:tc>
      </w:tr>
    </w:tbl>
    <w:p w14:paraId="750D1149">
      <w:pPr>
        <w:pStyle w:val="3"/>
        <w:numPr>
          <w:ilvl w:val="1"/>
          <w:numId w:val="2"/>
        </w:numPr>
        <w:ind w:left="0" w:firstLine="0"/>
      </w:pPr>
      <w:r>
        <w:rPr>
          <w:rFonts w:hint="eastAsia"/>
        </w:rPr>
        <w:t>登记黑名单管理服务预算表</w:t>
      </w:r>
    </w:p>
    <w:tbl>
      <w:tblPr>
        <w:tblStyle w:val="8"/>
        <w:tblW w:w="8212" w:type="dxa"/>
        <w:tblInd w:w="-5" w:type="dxa"/>
        <w:tblLayout w:type="autofit"/>
        <w:tblCellMar>
          <w:top w:w="0" w:type="dxa"/>
          <w:left w:w="108" w:type="dxa"/>
          <w:bottom w:w="0" w:type="dxa"/>
          <w:right w:w="108" w:type="dxa"/>
        </w:tblCellMar>
      </w:tblPr>
      <w:tblGrid>
        <w:gridCol w:w="841"/>
        <w:gridCol w:w="1984"/>
        <w:gridCol w:w="3969"/>
        <w:gridCol w:w="1418"/>
      </w:tblGrid>
      <w:tr w14:paraId="56D846C1">
        <w:tblPrEx>
          <w:tblCellMar>
            <w:top w:w="0" w:type="dxa"/>
            <w:left w:w="108" w:type="dxa"/>
            <w:bottom w:w="0" w:type="dxa"/>
            <w:right w:w="108" w:type="dxa"/>
          </w:tblCellMar>
        </w:tblPrEx>
        <w:trPr>
          <w:trHeight w:val="730" w:hRule="atLeast"/>
          <w:tblHeader/>
        </w:trPr>
        <w:tc>
          <w:tcPr>
            <w:tcW w:w="841" w:type="dxa"/>
            <w:tcBorders>
              <w:top w:val="double" w:color="auto" w:sz="4" w:space="0"/>
              <w:left w:val="double" w:color="auto" w:sz="4" w:space="0"/>
              <w:bottom w:val="single" w:color="auto" w:sz="4" w:space="0"/>
              <w:right w:val="single" w:color="auto" w:sz="4" w:space="0"/>
            </w:tcBorders>
            <w:shd w:val="clear" w:color="000000" w:fill="D9D9D9"/>
            <w:noWrap/>
            <w:vAlign w:val="center"/>
          </w:tcPr>
          <w:p w14:paraId="412D1414">
            <w:pPr>
              <w:widowControl/>
              <w:jc w:val="center"/>
              <w:rPr>
                <w:rFonts w:ascii="宋体" w:hAnsi="宋体" w:cs="宋体"/>
                <w:b/>
                <w:bCs/>
                <w:kern w:val="0"/>
                <w:sz w:val="21"/>
                <w:szCs w:val="21"/>
              </w:rPr>
            </w:pPr>
            <w:r>
              <w:rPr>
                <w:rFonts w:hint="eastAsia" w:ascii="宋体" w:hAnsi="宋体" w:cs="宋体"/>
                <w:b/>
                <w:bCs/>
                <w:kern w:val="0"/>
                <w:sz w:val="21"/>
                <w:szCs w:val="21"/>
              </w:rPr>
              <w:t>编号</w:t>
            </w:r>
          </w:p>
        </w:tc>
        <w:tc>
          <w:tcPr>
            <w:tcW w:w="1984" w:type="dxa"/>
            <w:tcBorders>
              <w:top w:val="double" w:color="auto" w:sz="4" w:space="0"/>
              <w:left w:val="nil"/>
              <w:bottom w:val="single" w:color="auto" w:sz="4" w:space="0"/>
              <w:right w:val="single" w:color="auto" w:sz="4" w:space="0"/>
            </w:tcBorders>
            <w:shd w:val="clear" w:color="000000" w:fill="D9D9D9"/>
            <w:vAlign w:val="center"/>
          </w:tcPr>
          <w:p w14:paraId="388D7105">
            <w:pPr>
              <w:widowControl/>
              <w:jc w:val="center"/>
              <w:rPr>
                <w:rFonts w:ascii="宋体" w:hAnsi="宋体" w:cs="宋体"/>
                <w:b/>
                <w:bCs/>
                <w:kern w:val="0"/>
                <w:sz w:val="21"/>
                <w:szCs w:val="21"/>
              </w:rPr>
            </w:pPr>
            <w:r>
              <w:rPr>
                <w:rFonts w:hint="eastAsia" w:ascii="宋体" w:hAnsi="宋体" w:cs="宋体"/>
                <w:b/>
                <w:bCs/>
                <w:kern w:val="0"/>
                <w:sz w:val="21"/>
                <w:szCs w:val="21"/>
              </w:rPr>
              <w:t>项目名称</w:t>
            </w:r>
          </w:p>
        </w:tc>
        <w:tc>
          <w:tcPr>
            <w:tcW w:w="3969" w:type="dxa"/>
            <w:tcBorders>
              <w:top w:val="double" w:color="auto" w:sz="4" w:space="0"/>
              <w:left w:val="nil"/>
              <w:bottom w:val="single" w:color="auto" w:sz="4" w:space="0"/>
              <w:right w:val="single" w:color="auto" w:sz="4" w:space="0"/>
            </w:tcBorders>
            <w:shd w:val="clear" w:color="000000" w:fill="D9D9D9"/>
            <w:vAlign w:val="center"/>
          </w:tcPr>
          <w:p w14:paraId="1D9EEB74">
            <w:pPr>
              <w:widowControl/>
              <w:jc w:val="center"/>
              <w:rPr>
                <w:rFonts w:ascii="宋体" w:hAnsi="宋体" w:cs="宋体"/>
                <w:b/>
                <w:bCs/>
                <w:kern w:val="0"/>
                <w:sz w:val="21"/>
                <w:szCs w:val="21"/>
              </w:rPr>
            </w:pPr>
            <w:r>
              <w:rPr>
                <w:rFonts w:hint="eastAsia" w:ascii="宋体" w:hAnsi="宋体" w:cs="宋体"/>
                <w:b/>
                <w:bCs/>
                <w:kern w:val="0"/>
                <w:sz w:val="21"/>
                <w:szCs w:val="21"/>
              </w:rPr>
              <w:t>服务需求及说明</w:t>
            </w:r>
          </w:p>
        </w:tc>
        <w:tc>
          <w:tcPr>
            <w:tcW w:w="1418" w:type="dxa"/>
            <w:tcBorders>
              <w:top w:val="double" w:color="auto" w:sz="4" w:space="0"/>
              <w:left w:val="nil"/>
              <w:bottom w:val="single" w:color="auto" w:sz="4" w:space="0"/>
              <w:right w:val="double" w:color="auto" w:sz="4" w:space="0"/>
            </w:tcBorders>
            <w:shd w:val="clear" w:color="000000" w:fill="D9D9D9"/>
            <w:vAlign w:val="center"/>
          </w:tcPr>
          <w:p w14:paraId="24FAAC23">
            <w:pPr>
              <w:widowControl/>
              <w:jc w:val="center"/>
              <w:rPr>
                <w:rFonts w:ascii="宋体" w:hAnsi="宋体" w:cs="宋体"/>
                <w:b/>
                <w:bCs/>
                <w:kern w:val="0"/>
                <w:sz w:val="21"/>
                <w:szCs w:val="21"/>
              </w:rPr>
            </w:pPr>
            <w:r>
              <w:rPr>
                <w:rFonts w:hint="eastAsia" w:ascii="宋体" w:hAnsi="宋体" w:cs="宋体"/>
                <w:b/>
                <w:bCs/>
                <w:kern w:val="0"/>
                <w:sz w:val="21"/>
                <w:szCs w:val="21"/>
              </w:rPr>
              <w:t>金额</w:t>
            </w:r>
            <w:r>
              <w:rPr>
                <w:rFonts w:hint="eastAsia" w:ascii="宋体" w:hAnsi="宋体" w:cs="宋体"/>
                <w:b/>
                <w:bCs/>
                <w:kern w:val="0"/>
                <w:sz w:val="21"/>
                <w:szCs w:val="21"/>
              </w:rPr>
              <w:br w:type="textWrapping"/>
            </w:r>
            <w:r>
              <w:rPr>
                <w:rFonts w:hint="eastAsia" w:ascii="宋体" w:hAnsi="宋体" w:cs="宋体"/>
                <w:b/>
                <w:bCs/>
                <w:kern w:val="0"/>
                <w:sz w:val="21"/>
                <w:szCs w:val="21"/>
              </w:rPr>
              <w:t>（万元）</w:t>
            </w:r>
          </w:p>
        </w:tc>
      </w:tr>
      <w:tr w14:paraId="28BC36C0">
        <w:tblPrEx>
          <w:tblCellMar>
            <w:top w:w="0" w:type="dxa"/>
            <w:left w:w="108" w:type="dxa"/>
            <w:bottom w:w="0" w:type="dxa"/>
            <w:right w:w="108" w:type="dxa"/>
          </w:tblCellMar>
        </w:tblPrEx>
        <w:trPr>
          <w:trHeight w:val="84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66017A1A">
            <w:pPr>
              <w:widowControl/>
              <w:jc w:val="center"/>
              <w:rPr>
                <w:rFonts w:ascii="宋体" w:hAnsi="宋体" w:cs="宋体"/>
                <w:kern w:val="0"/>
                <w:sz w:val="21"/>
                <w:szCs w:val="21"/>
              </w:rPr>
            </w:pPr>
            <w:r>
              <w:rPr>
                <w:rFonts w:ascii="宋体" w:hAnsi="宋体" w:cs="宋体"/>
                <w:kern w:val="0"/>
                <w:sz w:val="21"/>
                <w:szCs w:val="21"/>
              </w:rPr>
              <w:t>1</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609A3DEF">
            <w:pPr>
              <w:widowControl/>
              <w:jc w:val="left"/>
              <w:rPr>
                <w:rFonts w:ascii="宋体" w:hAnsi="宋体" w:cs="宋体"/>
                <w:kern w:val="0"/>
                <w:sz w:val="21"/>
                <w:szCs w:val="21"/>
              </w:rPr>
            </w:pPr>
            <w:r>
              <w:rPr>
                <w:rFonts w:hint="eastAsia" w:ascii="宋体" w:hAnsi="宋体" w:cs="宋体"/>
                <w:kern w:val="0"/>
                <w:sz w:val="21"/>
                <w:szCs w:val="21"/>
              </w:rPr>
              <w:t>经营主体登记业务预警服务</w:t>
            </w:r>
          </w:p>
        </w:tc>
        <w:tc>
          <w:tcPr>
            <w:tcW w:w="3969" w:type="dxa"/>
            <w:tcBorders>
              <w:top w:val="nil"/>
              <w:left w:val="nil"/>
              <w:bottom w:val="single" w:color="auto" w:sz="4" w:space="0"/>
              <w:right w:val="single" w:color="auto" w:sz="4" w:space="0"/>
            </w:tcBorders>
            <w:shd w:val="clear" w:color="auto" w:fill="auto"/>
            <w:vAlign w:val="center"/>
          </w:tcPr>
          <w:p w14:paraId="5E2A0C57">
            <w:pPr>
              <w:widowControl/>
              <w:jc w:val="left"/>
              <w:rPr>
                <w:rFonts w:ascii="宋体" w:hAnsi="宋体" w:cs="宋体"/>
                <w:kern w:val="0"/>
                <w:sz w:val="21"/>
                <w:szCs w:val="21"/>
              </w:rPr>
            </w:pPr>
            <w:r>
              <w:rPr>
                <w:rFonts w:hint="eastAsia" w:ascii="宋体" w:hAnsi="宋体" w:cs="宋体"/>
                <w:kern w:val="0"/>
                <w:sz w:val="21"/>
                <w:szCs w:val="21"/>
              </w:rPr>
              <w:t>为公司、非公司企业法人、合伙企业、个人独资企业、常驻代表机构、外国（地区）企业在中国境内从事生产经营活动、分公司和分支机构等各类经营主体，在设立、注销、变更、备案等72项政务服务事项中，提供业务预警服务，实时提示潜在风险，辅助登记人员准确判断，提升登记质量与安全性。</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32E78212">
            <w:pPr>
              <w:widowControl/>
              <w:jc w:val="center"/>
              <w:rPr>
                <w:rFonts w:ascii="宋体" w:hAnsi="宋体" w:cs="宋体"/>
                <w:kern w:val="0"/>
                <w:sz w:val="21"/>
                <w:szCs w:val="21"/>
              </w:rPr>
            </w:pPr>
          </w:p>
        </w:tc>
      </w:tr>
      <w:tr w14:paraId="367F744D">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37B98CFF">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EF58D4F">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03971BC">
            <w:pPr>
              <w:widowControl/>
              <w:jc w:val="left"/>
              <w:rPr>
                <w:rFonts w:ascii="宋体" w:hAnsi="宋体" w:cs="宋体"/>
                <w:kern w:val="0"/>
                <w:sz w:val="21"/>
                <w:szCs w:val="21"/>
              </w:rPr>
            </w:pPr>
            <w:r>
              <w:rPr>
                <w:rFonts w:hint="eastAsia" w:ascii="宋体" w:hAnsi="宋体" w:cs="宋体"/>
                <w:kern w:val="0"/>
                <w:sz w:val="21"/>
                <w:szCs w:val="21"/>
              </w:rPr>
              <w:t>为农民专业合作社、农民专业合作社分支机构等经营主体，在设立、注销、变更、备案等20项政务服务事项中，提供业务预警服务，实时提示潜在风险，辅助登记人员准确判断，提升登记质量与安全性。</w:t>
            </w:r>
          </w:p>
        </w:tc>
        <w:tc>
          <w:tcPr>
            <w:tcW w:w="1418" w:type="dxa"/>
            <w:vMerge w:val="continue"/>
            <w:tcBorders>
              <w:top w:val="nil"/>
              <w:left w:val="single" w:color="auto" w:sz="4" w:space="0"/>
              <w:bottom w:val="single" w:color="000000" w:sz="4" w:space="0"/>
              <w:right w:val="double" w:color="auto" w:sz="4" w:space="0"/>
            </w:tcBorders>
            <w:vAlign w:val="center"/>
          </w:tcPr>
          <w:p w14:paraId="71C2CAF4">
            <w:pPr>
              <w:widowControl/>
              <w:jc w:val="left"/>
              <w:rPr>
                <w:rFonts w:ascii="宋体" w:hAnsi="宋体" w:cs="宋体"/>
                <w:kern w:val="0"/>
                <w:sz w:val="21"/>
                <w:szCs w:val="21"/>
              </w:rPr>
            </w:pPr>
          </w:p>
        </w:tc>
      </w:tr>
      <w:tr w14:paraId="4D533A6E">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0DCC6644">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633D8D89">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1836598">
            <w:pPr>
              <w:widowControl/>
              <w:jc w:val="left"/>
              <w:rPr>
                <w:rFonts w:ascii="宋体" w:hAnsi="宋体" w:cs="宋体"/>
                <w:kern w:val="0"/>
                <w:sz w:val="21"/>
                <w:szCs w:val="21"/>
              </w:rPr>
            </w:pPr>
            <w:r>
              <w:rPr>
                <w:rFonts w:hint="eastAsia" w:ascii="宋体" w:hAnsi="宋体" w:cs="宋体"/>
                <w:kern w:val="0"/>
                <w:sz w:val="21"/>
                <w:szCs w:val="21"/>
              </w:rPr>
              <w:t>为个体工商户在设立、注销、变更、备案等9项政务服务事项中，提供业务预警服务，实时提示潜在风险，辅助登记人员准确判断，提升登记质量与安全性。</w:t>
            </w:r>
          </w:p>
        </w:tc>
        <w:tc>
          <w:tcPr>
            <w:tcW w:w="1418" w:type="dxa"/>
            <w:vMerge w:val="continue"/>
            <w:tcBorders>
              <w:top w:val="nil"/>
              <w:left w:val="single" w:color="auto" w:sz="4" w:space="0"/>
              <w:bottom w:val="single" w:color="000000" w:sz="4" w:space="0"/>
              <w:right w:val="double" w:color="auto" w:sz="4" w:space="0"/>
            </w:tcBorders>
            <w:vAlign w:val="center"/>
          </w:tcPr>
          <w:p w14:paraId="00586C64">
            <w:pPr>
              <w:widowControl/>
              <w:jc w:val="left"/>
              <w:rPr>
                <w:rFonts w:ascii="宋体" w:hAnsi="宋体" w:cs="宋体"/>
                <w:kern w:val="0"/>
                <w:sz w:val="21"/>
                <w:szCs w:val="21"/>
              </w:rPr>
            </w:pPr>
          </w:p>
        </w:tc>
      </w:tr>
      <w:tr w14:paraId="46F88FC4">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06871E42">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EDB352E">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B56620B">
            <w:pPr>
              <w:widowControl/>
              <w:jc w:val="left"/>
              <w:rPr>
                <w:rFonts w:ascii="宋体" w:hAnsi="宋体" w:cs="宋体"/>
                <w:kern w:val="0"/>
                <w:sz w:val="21"/>
                <w:szCs w:val="21"/>
              </w:rPr>
            </w:pPr>
            <w:r>
              <w:rPr>
                <w:rFonts w:hint="eastAsia" w:ascii="宋体" w:hAnsi="宋体" w:cs="宋体"/>
                <w:kern w:val="0"/>
                <w:sz w:val="21"/>
                <w:szCs w:val="21"/>
              </w:rPr>
              <w:t>为各级登记机关提供注册登记业务预警查询服务，支持查询针对具体经营主体及相关登记备案事项的预警信息。</w:t>
            </w:r>
          </w:p>
        </w:tc>
        <w:tc>
          <w:tcPr>
            <w:tcW w:w="1418" w:type="dxa"/>
            <w:vMerge w:val="continue"/>
            <w:tcBorders>
              <w:top w:val="nil"/>
              <w:left w:val="single" w:color="auto" w:sz="4" w:space="0"/>
              <w:bottom w:val="single" w:color="000000" w:sz="4" w:space="0"/>
              <w:right w:val="double" w:color="auto" w:sz="4" w:space="0"/>
            </w:tcBorders>
            <w:vAlign w:val="center"/>
          </w:tcPr>
          <w:p w14:paraId="5A8EBC2E">
            <w:pPr>
              <w:widowControl/>
              <w:jc w:val="left"/>
              <w:rPr>
                <w:rFonts w:ascii="宋体" w:hAnsi="宋体" w:cs="宋体"/>
                <w:kern w:val="0"/>
                <w:sz w:val="21"/>
                <w:szCs w:val="21"/>
              </w:rPr>
            </w:pPr>
          </w:p>
        </w:tc>
      </w:tr>
      <w:tr w14:paraId="44578515">
        <w:tblPrEx>
          <w:tblCellMar>
            <w:top w:w="0" w:type="dxa"/>
            <w:left w:w="108" w:type="dxa"/>
            <w:bottom w:w="0" w:type="dxa"/>
            <w:right w:w="108" w:type="dxa"/>
          </w:tblCellMar>
        </w:tblPrEx>
        <w:trPr>
          <w:trHeight w:val="112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40C52E03">
            <w:pPr>
              <w:widowControl/>
              <w:jc w:val="center"/>
              <w:rPr>
                <w:rFonts w:ascii="宋体" w:hAnsi="宋体" w:cs="宋体"/>
                <w:kern w:val="0"/>
                <w:sz w:val="21"/>
                <w:szCs w:val="21"/>
              </w:rPr>
            </w:pPr>
            <w:r>
              <w:rPr>
                <w:rFonts w:ascii="宋体" w:hAnsi="宋体" w:cs="宋体"/>
                <w:kern w:val="0"/>
                <w:sz w:val="21"/>
                <w:szCs w:val="21"/>
              </w:rPr>
              <w:t>2</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74C98C77">
            <w:pPr>
              <w:widowControl/>
              <w:jc w:val="left"/>
              <w:rPr>
                <w:rFonts w:ascii="宋体" w:hAnsi="宋体" w:cs="宋体"/>
                <w:kern w:val="0"/>
                <w:sz w:val="21"/>
                <w:szCs w:val="21"/>
              </w:rPr>
            </w:pPr>
            <w:r>
              <w:rPr>
                <w:rFonts w:hint="eastAsia" w:ascii="宋体" w:hAnsi="宋体" w:cs="宋体"/>
                <w:kern w:val="0"/>
                <w:sz w:val="21"/>
                <w:szCs w:val="21"/>
              </w:rPr>
              <w:t>经营主体登记业务限制服务</w:t>
            </w:r>
          </w:p>
        </w:tc>
        <w:tc>
          <w:tcPr>
            <w:tcW w:w="3969" w:type="dxa"/>
            <w:tcBorders>
              <w:top w:val="nil"/>
              <w:left w:val="nil"/>
              <w:bottom w:val="single" w:color="auto" w:sz="4" w:space="0"/>
              <w:right w:val="single" w:color="auto" w:sz="4" w:space="0"/>
            </w:tcBorders>
            <w:shd w:val="clear" w:color="auto" w:fill="auto"/>
            <w:vAlign w:val="center"/>
          </w:tcPr>
          <w:p w14:paraId="3B5786D5">
            <w:pPr>
              <w:widowControl/>
              <w:jc w:val="left"/>
              <w:rPr>
                <w:rFonts w:ascii="宋体" w:hAnsi="宋体" w:cs="宋体"/>
                <w:kern w:val="0"/>
                <w:sz w:val="21"/>
                <w:szCs w:val="21"/>
              </w:rPr>
            </w:pPr>
            <w:r>
              <w:rPr>
                <w:rFonts w:hint="eastAsia" w:ascii="宋体" w:hAnsi="宋体" w:cs="宋体"/>
                <w:kern w:val="0"/>
                <w:sz w:val="21"/>
                <w:szCs w:val="21"/>
              </w:rPr>
              <w:t>为公司、非公司企业法人、合伙企业、个人独资企业、常驻代表机构、外国（地区）企业在中国境内从事生产经营活动、分公司和分支机构等经营主体，在设立登记、注销登记、简易注销登记、变更登记、备案、增补证照、迁移登记、歇业备案等72项政务服务事项中，提供登记业务限制服务，并向登记机关提示限制详情。</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4B262C84">
            <w:pPr>
              <w:widowControl/>
              <w:jc w:val="center"/>
              <w:rPr>
                <w:rFonts w:ascii="宋体" w:hAnsi="宋体" w:cs="宋体"/>
                <w:kern w:val="0"/>
                <w:sz w:val="21"/>
                <w:szCs w:val="21"/>
              </w:rPr>
            </w:pPr>
          </w:p>
        </w:tc>
      </w:tr>
      <w:tr w14:paraId="6E4E6390">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30E60B3A">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70B37D93">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6F0318E">
            <w:pPr>
              <w:widowControl/>
              <w:jc w:val="left"/>
              <w:rPr>
                <w:rFonts w:ascii="宋体" w:hAnsi="宋体" w:cs="宋体"/>
                <w:kern w:val="0"/>
                <w:sz w:val="21"/>
                <w:szCs w:val="21"/>
              </w:rPr>
            </w:pPr>
            <w:r>
              <w:rPr>
                <w:rFonts w:hint="eastAsia" w:ascii="宋体" w:hAnsi="宋体" w:cs="宋体"/>
                <w:kern w:val="0"/>
                <w:sz w:val="21"/>
                <w:szCs w:val="21"/>
              </w:rPr>
              <w:t>为农民专业合作社、农民专业合作社分支机构等经营主体，在设立登记、注销登记、简易注销登记、变更登记、备案、增补证照、迁移登记、歇业备案等20项政务服务事项中，提供登记业务限制服务，并向登记机关提示限制详情。</w:t>
            </w:r>
          </w:p>
        </w:tc>
        <w:tc>
          <w:tcPr>
            <w:tcW w:w="1418" w:type="dxa"/>
            <w:vMerge w:val="continue"/>
            <w:tcBorders>
              <w:top w:val="nil"/>
              <w:left w:val="single" w:color="auto" w:sz="4" w:space="0"/>
              <w:bottom w:val="single" w:color="000000" w:sz="4" w:space="0"/>
              <w:right w:val="double" w:color="auto" w:sz="4" w:space="0"/>
            </w:tcBorders>
            <w:vAlign w:val="center"/>
          </w:tcPr>
          <w:p w14:paraId="585B3D26">
            <w:pPr>
              <w:widowControl/>
              <w:jc w:val="left"/>
              <w:rPr>
                <w:rFonts w:ascii="宋体" w:hAnsi="宋体" w:cs="宋体"/>
                <w:kern w:val="0"/>
                <w:sz w:val="21"/>
                <w:szCs w:val="21"/>
              </w:rPr>
            </w:pPr>
          </w:p>
        </w:tc>
      </w:tr>
      <w:tr w14:paraId="3BAE87AA">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0395C27F">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3F026D4F">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69A47B8">
            <w:pPr>
              <w:widowControl/>
              <w:jc w:val="left"/>
              <w:rPr>
                <w:rFonts w:ascii="宋体" w:hAnsi="宋体" w:cs="宋体"/>
                <w:kern w:val="0"/>
                <w:sz w:val="21"/>
                <w:szCs w:val="21"/>
              </w:rPr>
            </w:pPr>
            <w:r>
              <w:rPr>
                <w:rFonts w:hint="eastAsia" w:ascii="宋体" w:hAnsi="宋体" w:cs="宋体"/>
                <w:kern w:val="0"/>
                <w:sz w:val="21"/>
                <w:szCs w:val="21"/>
              </w:rPr>
              <w:t>为个体工商户在设立登记、注销登记、简易注销登记、变更登记、备案、增补证照、迁移登记、歇业备案等9项政务服务事项中，提供登记业务限制服务，并向登记机关提示限制详情。</w:t>
            </w:r>
          </w:p>
        </w:tc>
        <w:tc>
          <w:tcPr>
            <w:tcW w:w="1418" w:type="dxa"/>
            <w:vMerge w:val="continue"/>
            <w:tcBorders>
              <w:top w:val="nil"/>
              <w:left w:val="single" w:color="auto" w:sz="4" w:space="0"/>
              <w:bottom w:val="single" w:color="000000" w:sz="4" w:space="0"/>
              <w:right w:val="double" w:color="auto" w:sz="4" w:space="0"/>
            </w:tcBorders>
            <w:vAlign w:val="center"/>
          </w:tcPr>
          <w:p w14:paraId="0E877243">
            <w:pPr>
              <w:widowControl/>
              <w:jc w:val="left"/>
              <w:rPr>
                <w:rFonts w:ascii="宋体" w:hAnsi="宋体" w:cs="宋体"/>
                <w:kern w:val="0"/>
                <w:sz w:val="21"/>
                <w:szCs w:val="21"/>
              </w:rPr>
            </w:pPr>
          </w:p>
        </w:tc>
      </w:tr>
      <w:tr w14:paraId="04CC1443">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459157B9">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71A23527">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2CB66ED0">
            <w:pPr>
              <w:widowControl/>
              <w:jc w:val="left"/>
              <w:rPr>
                <w:rFonts w:ascii="宋体" w:hAnsi="宋体" w:cs="宋体"/>
                <w:kern w:val="0"/>
                <w:sz w:val="21"/>
                <w:szCs w:val="21"/>
              </w:rPr>
            </w:pPr>
            <w:r>
              <w:rPr>
                <w:rFonts w:hint="eastAsia" w:ascii="宋体" w:hAnsi="宋体" w:cs="宋体"/>
                <w:kern w:val="0"/>
                <w:sz w:val="21"/>
                <w:szCs w:val="21"/>
              </w:rPr>
              <w:t>为各级登记机关提供登记业务限制管理服务，支持对具体经营主体及相关登记备案事项进行限制申报与核准查询。</w:t>
            </w:r>
          </w:p>
        </w:tc>
        <w:tc>
          <w:tcPr>
            <w:tcW w:w="1418" w:type="dxa"/>
            <w:vMerge w:val="continue"/>
            <w:tcBorders>
              <w:top w:val="nil"/>
              <w:left w:val="single" w:color="auto" w:sz="4" w:space="0"/>
              <w:bottom w:val="single" w:color="000000" w:sz="4" w:space="0"/>
              <w:right w:val="double" w:color="auto" w:sz="4" w:space="0"/>
            </w:tcBorders>
            <w:vAlign w:val="center"/>
          </w:tcPr>
          <w:p w14:paraId="1A043EE9">
            <w:pPr>
              <w:widowControl/>
              <w:jc w:val="left"/>
              <w:rPr>
                <w:rFonts w:ascii="宋体" w:hAnsi="宋体" w:cs="宋体"/>
                <w:kern w:val="0"/>
                <w:sz w:val="21"/>
                <w:szCs w:val="21"/>
              </w:rPr>
            </w:pPr>
          </w:p>
        </w:tc>
      </w:tr>
      <w:tr w14:paraId="0B394B7C">
        <w:tblPrEx>
          <w:tblCellMar>
            <w:top w:w="0" w:type="dxa"/>
            <w:left w:w="108" w:type="dxa"/>
            <w:bottom w:w="0" w:type="dxa"/>
            <w:right w:w="108" w:type="dxa"/>
          </w:tblCellMar>
        </w:tblPrEx>
        <w:trPr>
          <w:trHeight w:val="1120" w:hRule="atLeast"/>
        </w:trPr>
        <w:tc>
          <w:tcPr>
            <w:tcW w:w="841" w:type="dxa"/>
            <w:tcBorders>
              <w:top w:val="nil"/>
              <w:left w:val="double" w:color="auto" w:sz="4" w:space="0"/>
              <w:bottom w:val="single" w:color="auto" w:sz="4" w:space="0"/>
              <w:right w:val="single" w:color="auto" w:sz="4" w:space="0"/>
            </w:tcBorders>
            <w:shd w:val="clear" w:color="auto" w:fill="auto"/>
            <w:noWrap/>
            <w:vAlign w:val="center"/>
          </w:tcPr>
          <w:p w14:paraId="5416CB3C">
            <w:pPr>
              <w:widowControl/>
              <w:jc w:val="center"/>
              <w:rPr>
                <w:rFonts w:ascii="宋体" w:hAnsi="宋体" w:cs="宋体"/>
                <w:kern w:val="0"/>
                <w:sz w:val="21"/>
                <w:szCs w:val="21"/>
              </w:rPr>
            </w:pPr>
            <w:r>
              <w:rPr>
                <w:rFonts w:ascii="宋体" w:hAnsi="宋体" w:cs="宋体"/>
                <w:kern w:val="0"/>
                <w:sz w:val="21"/>
                <w:szCs w:val="21"/>
              </w:rPr>
              <w:t>3</w:t>
            </w:r>
          </w:p>
        </w:tc>
        <w:tc>
          <w:tcPr>
            <w:tcW w:w="1984" w:type="dxa"/>
            <w:tcBorders>
              <w:top w:val="nil"/>
              <w:left w:val="nil"/>
              <w:bottom w:val="single" w:color="auto" w:sz="4" w:space="0"/>
              <w:right w:val="single" w:color="auto" w:sz="4" w:space="0"/>
            </w:tcBorders>
            <w:shd w:val="clear" w:color="auto" w:fill="auto"/>
            <w:vAlign w:val="center"/>
          </w:tcPr>
          <w:p w14:paraId="0E986B4F">
            <w:pPr>
              <w:widowControl/>
              <w:jc w:val="left"/>
              <w:rPr>
                <w:rFonts w:ascii="宋体" w:hAnsi="宋体" w:cs="宋体"/>
                <w:kern w:val="0"/>
                <w:sz w:val="21"/>
                <w:szCs w:val="21"/>
              </w:rPr>
            </w:pPr>
            <w:r>
              <w:rPr>
                <w:rFonts w:hint="eastAsia" w:ascii="宋体" w:hAnsi="宋体" w:cs="宋体"/>
                <w:kern w:val="0"/>
                <w:sz w:val="21"/>
                <w:szCs w:val="21"/>
              </w:rPr>
              <w:t>经营范围限制使用提示服务</w:t>
            </w:r>
          </w:p>
        </w:tc>
        <w:tc>
          <w:tcPr>
            <w:tcW w:w="3969" w:type="dxa"/>
            <w:tcBorders>
              <w:top w:val="nil"/>
              <w:left w:val="nil"/>
              <w:bottom w:val="single" w:color="auto" w:sz="4" w:space="0"/>
              <w:right w:val="single" w:color="auto" w:sz="4" w:space="0"/>
            </w:tcBorders>
            <w:shd w:val="clear" w:color="auto" w:fill="auto"/>
            <w:vAlign w:val="center"/>
          </w:tcPr>
          <w:p w14:paraId="08EB8460">
            <w:pPr>
              <w:widowControl/>
              <w:jc w:val="left"/>
              <w:rPr>
                <w:rFonts w:ascii="宋体" w:hAnsi="宋体" w:cs="宋体"/>
                <w:kern w:val="0"/>
                <w:sz w:val="21"/>
                <w:szCs w:val="21"/>
              </w:rPr>
            </w:pPr>
            <w:r>
              <w:rPr>
                <w:rFonts w:hint="eastAsia" w:ascii="宋体" w:hAnsi="宋体" w:cs="宋体"/>
                <w:kern w:val="0"/>
                <w:sz w:val="21"/>
                <w:szCs w:val="21"/>
              </w:rPr>
              <w:t>为帮助企业提升申报体验并提前识别合规风险，在经营范围填报环节嵌入关键词提示机制。如发现所选条目涉及许可或限制类经营领域，将及时进行提示和引导，协助企业正确理解政策要求。通过该服务，有助于提升申报材料规范性，预防因经营范围登记不当引发的后续风险，支持营造更加规范有序的市场环境。</w:t>
            </w:r>
          </w:p>
        </w:tc>
        <w:tc>
          <w:tcPr>
            <w:tcW w:w="1418" w:type="dxa"/>
            <w:tcBorders>
              <w:top w:val="nil"/>
              <w:left w:val="nil"/>
              <w:bottom w:val="single" w:color="auto" w:sz="4" w:space="0"/>
              <w:right w:val="double" w:color="auto" w:sz="4" w:space="0"/>
            </w:tcBorders>
            <w:shd w:val="clear" w:color="auto" w:fill="auto"/>
            <w:noWrap/>
            <w:vAlign w:val="center"/>
          </w:tcPr>
          <w:p w14:paraId="6076F649">
            <w:pPr>
              <w:widowControl/>
              <w:jc w:val="center"/>
              <w:rPr>
                <w:rFonts w:ascii="宋体" w:hAnsi="宋体" w:cs="宋体"/>
                <w:kern w:val="0"/>
                <w:sz w:val="21"/>
                <w:szCs w:val="21"/>
              </w:rPr>
            </w:pPr>
          </w:p>
        </w:tc>
      </w:tr>
      <w:tr w14:paraId="397A53EF">
        <w:tblPrEx>
          <w:tblCellMar>
            <w:top w:w="0" w:type="dxa"/>
            <w:left w:w="108" w:type="dxa"/>
            <w:bottom w:w="0" w:type="dxa"/>
            <w:right w:w="108" w:type="dxa"/>
          </w:tblCellMar>
        </w:tblPrEx>
        <w:trPr>
          <w:trHeight w:val="1120" w:hRule="atLeast"/>
        </w:trPr>
        <w:tc>
          <w:tcPr>
            <w:tcW w:w="841" w:type="dxa"/>
            <w:tcBorders>
              <w:top w:val="nil"/>
              <w:left w:val="double" w:color="auto" w:sz="4" w:space="0"/>
              <w:bottom w:val="single" w:color="auto" w:sz="4" w:space="0"/>
              <w:right w:val="single" w:color="auto" w:sz="4" w:space="0"/>
            </w:tcBorders>
            <w:shd w:val="clear" w:color="auto" w:fill="auto"/>
            <w:noWrap/>
            <w:vAlign w:val="center"/>
          </w:tcPr>
          <w:p w14:paraId="65AEB4A0">
            <w:pPr>
              <w:widowControl/>
              <w:jc w:val="center"/>
              <w:rPr>
                <w:rFonts w:ascii="宋体" w:hAnsi="宋体" w:cs="宋体"/>
                <w:kern w:val="0"/>
                <w:sz w:val="21"/>
                <w:szCs w:val="21"/>
              </w:rPr>
            </w:pPr>
            <w:r>
              <w:rPr>
                <w:rFonts w:ascii="宋体" w:hAnsi="宋体" w:cs="宋体"/>
                <w:kern w:val="0"/>
                <w:sz w:val="21"/>
                <w:szCs w:val="21"/>
              </w:rPr>
              <w:t>4</w:t>
            </w:r>
          </w:p>
        </w:tc>
        <w:tc>
          <w:tcPr>
            <w:tcW w:w="1984" w:type="dxa"/>
            <w:tcBorders>
              <w:top w:val="nil"/>
              <w:left w:val="nil"/>
              <w:bottom w:val="single" w:color="auto" w:sz="4" w:space="0"/>
              <w:right w:val="single" w:color="auto" w:sz="4" w:space="0"/>
            </w:tcBorders>
            <w:shd w:val="clear" w:color="auto" w:fill="auto"/>
            <w:vAlign w:val="center"/>
          </w:tcPr>
          <w:p w14:paraId="3CB243E0">
            <w:pPr>
              <w:widowControl/>
              <w:jc w:val="left"/>
              <w:rPr>
                <w:rFonts w:ascii="宋体" w:hAnsi="宋体" w:cs="宋体"/>
                <w:kern w:val="0"/>
                <w:sz w:val="21"/>
                <w:szCs w:val="21"/>
              </w:rPr>
            </w:pPr>
            <w:r>
              <w:rPr>
                <w:rFonts w:hint="eastAsia" w:ascii="宋体" w:hAnsi="宋体" w:cs="宋体"/>
                <w:kern w:val="0"/>
                <w:sz w:val="21"/>
                <w:szCs w:val="21"/>
              </w:rPr>
              <w:t>经营范围禁止使用管理服务</w:t>
            </w:r>
          </w:p>
        </w:tc>
        <w:tc>
          <w:tcPr>
            <w:tcW w:w="3969" w:type="dxa"/>
            <w:tcBorders>
              <w:top w:val="nil"/>
              <w:left w:val="nil"/>
              <w:bottom w:val="single" w:color="auto" w:sz="4" w:space="0"/>
              <w:right w:val="single" w:color="auto" w:sz="4" w:space="0"/>
            </w:tcBorders>
            <w:shd w:val="clear" w:color="auto" w:fill="auto"/>
            <w:vAlign w:val="center"/>
          </w:tcPr>
          <w:p w14:paraId="179A2D81">
            <w:pPr>
              <w:widowControl/>
              <w:jc w:val="left"/>
              <w:rPr>
                <w:rFonts w:ascii="宋体" w:hAnsi="宋体" w:cs="宋体"/>
                <w:kern w:val="0"/>
                <w:sz w:val="21"/>
                <w:szCs w:val="21"/>
              </w:rPr>
            </w:pPr>
            <w:r>
              <w:rPr>
                <w:rFonts w:hint="eastAsia" w:ascii="宋体" w:hAnsi="宋体" w:cs="宋体"/>
                <w:kern w:val="0"/>
                <w:sz w:val="21"/>
                <w:szCs w:val="21"/>
              </w:rPr>
              <w:t>为加强源头合规管理，对国家明令禁止的经营范围条目建立关键词管理机制，并提供禁限用内容管理支持，登记机关可根据本地政策配置经营范围限制条目。在经营主体办理设立或变更登记时，对违规内容进行提示并限制选择，确保其经营范围符合《市场主体登记管理条例》及相关产业政策要求，从登记入口处防范合规风险。</w:t>
            </w:r>
          </w:p>
        </w:tc>
        <w:tc>
          <w:tcPr>
            <w:tcW w:w="1418" w:type="dxa"/>
            <w:tcBorders>
              <w:top w:val="nil"/>
              <w:left w:val="nil"/>
              <w:bottom w:val="single" w:color="auto" w:sz="4" w:space="0"/>
              <w:right w:val="double" w:color="auto" w:sz="4" w:space="0"/>
            </w:tcBorders>
            <w:shd w:val="clear" w:color="auto" w:fill="auto"/>
            <w:noWrap/>
            <w:vAlign w:val="center"/>
          </w:tcPr>
          <w:p w14:paraId="1E26A7E1">
            <w:pPr>
              <w:widowControl/>
              <w:jc w:val="center"/>
              <w:rPr>
                <w:rFonts w:ascii="宋体" w:hAnsi="宋体" w:cs="宋体"/>
                <w:kern w:val="0"/>
                <w:sz w:val="21"/>
                <w:szCs w:val="21"/>
              </w:rPr>
            </w:pPr>
          </w:p>
        </w:tc>
      </w:tr>
      <w:tr w14:paraId="366C16A9">
        <w:tblPrEx>
          <w:tblCellMar>
            <w:top w:w="0" w:type="dxa"/>
            <w:left w:w="108" w:type="dxa"/>
            <w:bottom w:w="0" w:type="dxa"/>
            <w:right w:w="108" w:type="dxa"/>
          </w:tblCellMar>
        </w:tblPrEx>
        <w:trPr>
          <w:trHeight w:val="280" w:hRule="atLeast"/>
        </w:trPr>
        <w:tc>
          <w:tcPr>
            <w:tcW w:w="6794" w:type="dxa"/>
            <w:gridSpan w:val="3"/>
            <w:tcBorders>
              <w:top w:val="single" w:color="auto" w:sz="4" w:space="0"/>
              <w:left w:val="double" w:color="auto" w:sz="4" w:space="0"/>
              <w:bottom w:val="double" w:color="auto" w:sz="4" w:space="0"/>
              <w:right w:val="single" w:color="auto" w:sz="4" w:space="0"/>
            </w:tcBorders>
            <w:shd w:val="clear" w:color="000000" w:fill="D9D9D9"/>
            <w:noWrap/>
            <w:vAlign w:val="center"/>
          </w:tcPr>
          <w:p w14:paraId="2147FF4D">
            <w:pPr>
              <w:widowControl/>
              <w:jc w:val="center"/>
              <w:rPr>
                <w:rFonts w:ascii="宋体" w:hAnsi="宋体" w:cs="宋体"/>
                <w:b/>
                <w:bCs/>
                <w:kern w:val="0"/>
                <w:sz w:val="21"/>
                <w:szCs w:val="21"/>
              </w:rPr>
            </w:pPr>
            <w:r>
              <w:rPr>
                <w:rFonts w:hint="eastAsia" w:ascii="宋体" w:hAnsi="宋体" w:cs="宋体"/>
                <w:b/>
                <w:bCs/>
                <w:kern w:val="0"/>
                <w:sz w:val="21"/>
                <w:szCs w:val="21"/>
              </w:rPr>
              <w:t>合计</w:t>
            </w:r>
          </w:p>
        </w:tc>
        <w:tc>
          <w:tcPr>
            <w:tcW w:w="1418" w:type="dxa"/>
            <w:tcBorders>
              <w:top w:val="nil"/>
              <w:left w:val="nil"/>
              <w:bottom w:val="double" w:color="auto" w:sz="4" w:space="0"/>
              <w:right w:val="double" w:color="auto" w:sz="4" w:space="0"/>
            </w:tcBorders>
            <w:shd w:val="clear" w:color="auto" w:fill="auto"/>
            <w:noWrap/>
            <w:vAlign w:val="center"/>
          </w:tcPr>
          <w:p w14:paraId="00EFD80F">
            <w:pPr>
              <w:widowControl/>
              <w:jc w:val="center"/>
              <w:rPr>
                <w:rFonts w:ascii="宋体" w:hAnsi="宋体" w:cs="宋体"/>
                <w:b/>
                <w:bCs/>
                <w:kern w:val="0"/>
                <w:sz w:val="21"/>
                <w:szCs w:val="21"/>
              </w:rPr>
            </w:pPr>
          </w:p>
        </w:tc>
      </w:tr>
    </w:tbl>
    <w:p w14:paraId="40C6874A">
      <w:pPr>
        <w:pStyle w:val="3"/>
        <w:numPr>
          <w:ilvl w:val="1"/>
          <w:numId w:val="2"/>
        </w:numPr>
        <w:ind w:left="0" w:firstLine="0"/>
      </w:pPr>
      <w:r>
        <w:rPr>
          <w:rFonts w:hint="eastAsia"/>
        </w:rPr>
        <w:t>新增登记注册代理人信息核验服务预算表</w:t>
      </w:r>
    </w:p>
    <w:tbl>
      <w:tblPr>
        <w:tblStyle w:val="8"/>
        <w:tblW w:w="8212" w:type="dxa"/>
        <w:tblInd w:w="-5" w:type="dxa"/>
        <w:tblLayout w:type="autofit"/>
        <w:tblCellMar>
          <w:top w:w="0" w:type="dxa"/>
          <w:left w:w="108" w:type="dxa"/>
          <w:bottom w:w="0" w:type="dxa"/>
          <w:right w:w="108" w:type="dxa"/>
        </w:tblCellMar>
      </w:tblPr>
      <w:tblGrid>
        <w:gridCol w:w="841"/>
        <w:gridCol w:w="1984"/>
        <w:gridCol w:w="3969"/>
        <w:gridCol w:w="1418"/>
      </w:tblGrid>
      <w:tr w14:paraId="05DD357A">
        <w:tblPrEx>
          <w:tblCellMar>
            <w:top w:w="0" w:type="dxa"/>
            <w:left w:w="108" w:type="dxa"/>
            <w:bottom w:w="0" w:type="dxa"/>
            <w:right w:w="108" w:type="dxa"/>
          </w:tblCellMar>
        </w:tblPrEx>
        <w:trPr>
          <w:trHeight w:val="730" w:hRule="atLeast"/>
          <w:tblHeader/>
        </w:trPr>
        <w:tc>
          <w:tcPr>
            <w:tcW w:w="841" w:type="dxa"/>
            <w:tcBorders>
              <w:top w:val="double" w:color="auto" w:sz="4" w:space="0"/>
              <w:left w:val="double" w:color="auto" w:sz="4" w:space="0"/>
              <w:bottom w:val="single" w:color="auto" w:sz="4" w:space="0"/>
              <w:right w:val="single" w:color="auto" w:sz="4" w:space="0"/>
            </w:tcBorders>
            <w:shd w:val="clear" w:color="000000" w:fill="D9D9D9"/>
            <w:noWrap/>
            <w:vAlign w:val="center"/>
          </w:tcPr>
          <w:p w14:paraId="3CCEF1C7">
            <w:pPr>
              <w:widowControl/>
              <w:jc w:val="center"/>
              <w:rPr>
                <w:rFonts w:ascii="宋体" w:hAnsi="宋体" w:cs="宋体"/>
                <w:b/>
                <w:bCs/>
                <w:kern w:val="0"/>
                <w:sz w:val="21"/>
                <w:szCs w:val="21"/>
              </w:rPr>
            </w:pPr>
            <w:r>
              <w:rPr>
                <w:rFonts w:hint="eastAsia" w:ascii="宋体" w:hAnsi="宋体" w:cs="宋体"/>
                <w:b/>
                <w:bCs/>
                <w:kern w:val="0"/>
                <w:sz w:val="21"/>
                <w:szCs w:val="21"/>
              </w:rPr>
              <w:t>编号</w:t>
            </w:r>
          </w:p>
        </w:tc>
        <w:tc>
          <w:tcPr>
            <w:tcW w:w="1984" w:type="dxa"/>
            <w:tcBorders>
              <w:top w:val="double" w:color="auto" w:sz="4" w:space="0"/>
              <w:left w:val="nil"/>
              <w:bottom w:val="single" w:color="auto" w:sz="4" w:space="0"/>
              <w:right w:val="single" w:color="auto" w:sz="4" w:space="0"/>
            </w:tcBorders>
            <w:shd w:val="clear" w:color="000000" w:fill="D9D9D9"/>
            <w:vAlign w:val="center"/>
          </w:tcPr>
          <w:p w14:paraId="5E3E24C9">
            <w:pPr>
              <w:widowControl/>
              <w:jc w:val="center"/>
              <w:rPr>
                <w:rFonts w:ascii="宋体" w:hAnsi="宋体" w:cs="宋体"/>
                <w:b/>
                <w:bCs/>
                <w:kern w:val="0"/>
                <w:sz w:val="21"/>
                <w:szCs w:val="21"/>
              </w:rPr>
            </w:pPr>
            <w:r>
              <w:rPr>
                <w:rFonts w:hint="eastAsia" w:ascii="宋体" w:hAnsi="宋体" w:cs="宋体"/>
                <w:b/>
                <w:bCs/>
                <w:kern w:val="0"/>
                <w:sz w:val="21"/>
                <w:szCs w:val="21"/>
              </w:rPr>
              <w:t>项目名称</w:t>
            </w:r>
          </w:p>
        </w:tc>
        <w:tc>
          <w:tcPr>
            <w:tcW w:w="3969" w:type="dxa"/>
            <w:tcBorders>
              <w:top w:val="double" w:color="auto" w:sz="4" w:space="0"/>
              <w:left w:val="nil"/>
              <w:bottom w:val="single" w:color="auto" w:sz="4" w:space="0"/>
              <w:right w:val="single" w:color="auto" w:sz="4" w:space="0"/>
            </w:tcBorders>
            <w:shd w:val="clear" w:color="000000" w:fill="D9D9D9"/>
            <w:vAlign w:val="center"/>
          </w:tcPr>
          <w:p w14:paraId="71F23934">
            <w:pPr>
              <w:widowControl/>
              <w:jc w:val="center"/>
              <w:rPr>
                <w:rFonts w:ascii="宋体" w:hAnsi="宋体" w:cs="宋体"/>
                <w:b/>
                <w:bCs/>
                <w:kern w:val="0"/>
                <w:sz w:val="21"/>
                <w:szCs w:val="21"/>
              </w:rPr>
            </w:pPr>
            <w:r>
              <w:rPr>
                <w:rFonts w:hint="eastAsia" w:ascii="宋体" w:hAnsi="宋体" w:cs="宋体"/>
                <w:b/>
                <w:bCs/>
                <w:kern w:val="0"/>
                <w:sz w:val="21"/>
                <w:szCs w:val="21"/>
              </w:rPr>
              <w:t>服务需求及说明</w:t>
            </w:r>
          </w:p>
        </w:tc>
        <w:tc>
          <w:tcPr>
            <w:tcW w:w="1418" w:type="dxa"/>
            <w:tcBorders>
              <w:top w:val="double" w:color="auto" w:sz="4" w:space="0"/>
              <w:left w:val="nil"/>
              <w:bottom w:val="single" w:color="auto" w:sz="4" w:space="0"/>
              <w:right w:val="double" w:color="auto" w:sz="4" w:space="0"/>
            </w:tcBorders>
            <w:shd w:val="clear" w:color="000000" w:fill="D9D9D9"/>
            <w:vAlign w:val="center"/>
          </w:tcPr>
          <w:p w14:paraId="7823708E">
            <w:pPr>
              <w:widowControl/>
              <w:jc w:val="center"/>
              <w:rPr>
                <w:rFonts w:ascii="宋体" w:hAnsi="宋体" w:cs="宋体"/>
                <w:b/>
                <w:bCs/>
                <w:kern w:val="0"/>
                <w:sz w:val="21"/>
                <w:szCs w:val="21"/>
              </w:rPr>
            </w:pPr>
            <w:r>
              <w:rPr>
                <w:rFonts w:hint="eastAsia" w:ascii="宋体" w:hAnsi="宋体" w:cs="宋体"/>
                <w:b/>
                <w:bCs/>
                <w:kern w:val="0"/>
                <w:sz w:val="21"/>
                <w:szCs w:val="21"/>
              </w:rPr>
              <w:t>金额</w:t>
            </w:r>
            <w:r>
              <w:rPr>
                <w:rFonts w:hint="eastAsia" w:ascii="宋体" w:hAnsi="宋体" w:cs="宋体"/>
                <w:b/>
                <w:bCs/>
                <w:kern w:val="0"/>
                <w:sz w:val="21"/>
                <w:szCs w:val="21"/>
              </w:rPr>
              <w:br w:type="textWrapping"/>
            </w:r>
            <w:r>
              <w:rPr>
                <w:rFonts w:hint="eastAsia" w:ascii="宋体" w:hAnsi="宋体" w:cs="宋体"/>
                <w:b/>
                <w:bCs/>
                <w:kern w:val="0"/>
                <w:sz w:val="21"/>
                <w:szCs w:val="21"/>
              </w:rPr>
              <w:t>（万元）</w:t>
            </w:r>
          </w:p>
        </w:tc>
      </w:tr>
      <w:tr w14:paraId="762D0EEA">
        <w:tblPrEx>
          <w:tblCellMar>
            <w:top w:w="0" w:type="dxa"/>
            <w:left w:w="108" w:type="dxa"/>
            <w:bottom w:w="0" w:type="dxa"/>
            <w:right w:w="108" w:type="dxa"/>
          </w:tblCellMar>
        </w:tblPrEx>
        <w:trPr>
          <w:trHeight w:val="840" w:hRule="atLeast"/>
        </w:trPr>
        <w:tc>
          <w:tcPr>
            <w:tcW w:w="841" w:type="dxa"/>
            <w:vMerge w:val="restart"/>
            <w:tcBorders>
              <w:top w:val="nil"/>
              <w:left w:val="double" w:color="auto" w:sz="4" w:space="0"/>
              <w:bottom w:val="nil"/>
              <w:right w:val="single" w:color="auto" w:sz="4" w:space="0"/>
            </w:tcBorders>
            <w:shd w:val="clear" w:color="auto" w:fill="auto"/>
            <w:noWrap/>
            <w:vAlign w:val="center"/>
          </w:tcPr>
          <w:p w14:paraId="2FA0229A">
            <w:pPr>
              <w:widowControl/>
              <w:jc w:val="center"/>
              <w:rPr>
                <w:rFonts w:ascii="宋体" w:hAnsi="宋体" w:cs="宋体"/>
                <w:kern w:val="0"/>
                <w:sz w:val="21"/>
                <w:szCs w:val="21"/>
              </w:rPr>
            </w:pPr>
            <w:r>
              <w:rPr>
                <w:rFonts w:hint="eastAsia" w:ascii="宋体" w:hAnsi="宋体" w:cs="宋体"/>
                <w:kern w:val="0"/>
                <w:sz w:val="21"/>
                <w:szCs w:val="21"/>
              </w:rPr>
              <w:t>1</w:t>
            </w:r>
          </w:p>
        </w:tc>
        <w:tc>
          <w:tcPr>
            <w:tcW w:w="1984" w:type="dxa"/>
            <w:vMerge w:val="restart"/>
            <w:tcBorders>
              <w:top w:val="nil"/>
              <w:left w:val="single" w:color="auto" w:sz="4" w:space="0"/>
              <w:bottom w:val="nil"/>
              <w:right w:val="single" w:color="auto" w:sz="4" w:space="0"/>
            </w:tcBorders>
            <w:shd w:val="clear" w:color="auto" w:fill="auto"/>
            <w:vAlign w:val="center"/>
          </w:tcPr>
          <w:p w14:paraId="0BB9F2E1">
            <w:pPr>
              <w:widowControl/>
              <w:jc w:val="left"/>
              <w:rPr>
                <w:rFonts w:ascii="宋体" w:hAnsi="宋体" w:cs="宋体"/>
                <w:kern w:val="0"/>
                <w:sz w:val="21"/>
                <w:szCs w:val="21"/>
              </w:rPr>
            </w:pPr>
            <w:r>
              <w:rPr>
                <w:rFonts w:hint="eastAsia" w:ascii="宋体" w:hAnsi="宋体" w:cs="宋体"/>
                <w:kern w:val="0"/>
                <w:sz w:val="21"/>
                <w:szCs w:val="21"/>
              </w:rPr>
              <w:t>登记注册委托代理人审核信息核验服务</w:t>
            </w:r>
          </w:p>
        </w:tc>
        <w:tc>
          <w:tcPr>
            <w:tcW w:w="3969" w:type="dxa"/>
            <w:tcBorders>
              <w:top w:val="nil"/>
              <w:left w:val="nil"/>
              <w:bottom w:val="single" w:color="auto" w:sz="4" w:space="0"/>
              <w:right w:val="single" w:color="auto" w:sz="4" w:space="0"/>
            </w:tcBorders>
            <w:shd w:val="clear" w:color="auto" w:fill="auto"/>
            <w:vAlign w:val="center"/>
          </w:tcPr>
          <w:p w14:paraId="1B1065BF">
            <w:pPr>
              <w:widowControl/>
              <w:jc w:val="left"/>
              <w:rPr>
                <w:rFonts w:ascii="宋体" w:hAnsi="宋体" w:cs="宋体"/>
                <w:kern w:val="0"/>
                <w:sz w:val="21"/>
                <w:szCs w:val="21"/>
              </w:rPr>
            </w:pPr>
            <w:r>
              <w:rPr>
                <w:rFonts w:hint="eastAsia" w:ascii="宋体" w:hAnsi="宋体" w:cs="宋体"/>
                <w:kern w:val="0"/>
                <w:sz w:val="21"/>
                <w:szCs w:val="21"/>
              </w:rPr>
              <w:t>衔接市场监管总局经营主体登记业务统一服务，遵循《全国登记注册代理人信息核验服务技术规范》，依托福建省市场监管智慧应用一体化平台提供注册登记代理人备案核验服务，为注册登记业务提供信息核验服务支撑，严格落实代理人身份核验要求，完善注册登记代理人备案机制。</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76B90E7E">
            <w:pPr>
              <w:widowControl/>
              <w:jc w:val="center"/>
              <w:rPr>
                <w:rFonts w:ascii="宋体" w:hAnsi="宋体" w:cs="宋体"/>
                <w:kern w:val="0"/>
                <w:sz w:val="21"/>
                <w:szCs w:val="21"/>
              </w:rPr>
            </w:pPr>
          </w:p>
        </w:tc>
      </w:tr>
      <w:tr w14:paraId="5ACB8638">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nil"/>
              <w:right w:val="single" w:color="auto" w:sz="4" w:space="0"/>
            </w:tcBorders>
            <w:vAlign w:val="center"/>
          </w:tcPr>
          <w:p w14:paraId="348D9F65">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371660FB">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11A9C99">
            <w:pPr>
              <w:widowControl/>
              <w:jc w:val="left"/>
              <w:rPr>
                <w:rFonts w:ascii="宋体" w:hAnsi="宋体" w:cs="宋体"/>
                <w:kern w:val="0"/>
                <w:sz w:val="21"/>
                <w:szCs w:val="21"/>
              </w:rPr>
            </w:pPr>
            <w:r>
              <w:rPr>
                <w:rFonts w:hint="eastAsia" w:ascii="宋体" w:hAnsi="宋体" w:cs="宋体"/>
                <w:kern w:val="0"/>
                <w:sz w:val="21"/>
                <w:szCs w:val="21"/>
              </w:rPr>
              <w:t>基于福建省市场监管经营主体数据库，提供市场监管智慧应用一体化平台代理人限制服务，校验申报登记和备案业务的经营主体，其委托代理人需限制为本企业联络员或在市场监管总局备案的代理人。</w:t>
            </w:r>
          </w:p>
        </w:tc>
        <w:tc>
          <w:tcPr>
            <w:tcW w:w="1418" w:type="dxa"/>
            <w:vMerge w:val="continue"/>
            <w:tcBorders>
              <w:top w:val="nil"/>
              <w:left w:val="single" w:color="auto" w:sz="4" w:space="0"/>
              <w:bottom w:val="single" w:color="000000" w:sz="4" w:space="0"/>
              <w:right w:val="double" w:color="auto" w:sz="4" w:space="0"/>
            </w:tcBorders>
            <w:vAlign w:val="center"/>
          </w:tcPr>
          <w:p w14:paraId="4A2CF165">
            <w:pPr>
              <w:widowControl/>
              <w:jc w:val="left"/>
              <w:rPr>
                <w:rFonts w:ascii="宋体" w:hAnsi="宋体" w:cs="宋体"/>
                <w:kern w:val="0"/>
                <w:sz w:val="21"/>
                <w:szCs w:val="21"/>
              </w:rPr>
            </w:pPr>
          </w:p>
        </w:tc>
      </w:tr>
      <w:tr w14:paraId="50091A4C">
        <w:tblPrEx>
          <w:tblCellMar>
            <w:top w:w="0" w:type="dxa"/>
            <w:left w:w="108" w:type="dxa"/>
            <w:bottom w:w="0" w:type="dxa"/>
            <w:right w:w="108" w:type="dxa"/>
          </w:tblCellMar>
        </w:tblPrEx>
        <w:trPr>
          <w:trHeight w:val="810" w:hRule="atLeast"/>
        </w:trPr>
        <w:tc>
          <w:tcPr>
            <w:tcW w:w="841" w:type="dxa"/>
            <w:vMerge w:val="continue"/>
            <w:tcBorders>
              <w:top w:val="nil"/>
              <w:left w:val="double" w:color="auto" w:sz="4" w:space="0"/>
              <w:bottom w:val="nil"/>
              <w:right w:val="single" w:color="auto" w:sz="4" w:space="0"/>
            </w:tcBorders>
            <w:vAlign w:val="center"/>
          </w:tcPr>
          <w:p w14:paraId="18B37F91">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48477451">
            <w:pPr>
              <w:widowControl/>
              <w:jc w:val="left"/>
              <w:rPr>
                <w:rFonts w:ascii="宋体" w:hAnsi="宋体" w:cs="宋体"/>
                <w:kern w:val="0"/>
                <w:sz w:val="21"/>
                <w:szCs w:val="21"/>
              </w:rPr>
            </w:pPr>
          </w:p>
        </w:tc>
        <w:tc>
          <w:tcPr>
            <w:tcW w:w="3969" w:type="dxa"/>
            <w:tcBorders>
              <w:top w:val="nil"/>
              <w:left w:val="nil"/>
              <w:bottom w:val="nil"/>
              <w:right w:val="nil"/>
            </w:tcBorders>
            <w:shd w:val="clear" w:color="auto" w:fill="auto"/>
            <w:vAlign w:val="center"/>
          </w:tcPr>
          <w:p w14:paraId="336FEFAE">
            <w:pPr>
              <w:widowControl/>
              <w:jc w:val="left"/>
              <w:rPr>
                <w:rFonts w:ascii="宋体" w:hAnsi="宋体" w:cs="宋体"/>
                <w:color w:val="000000"/>
                <w:kern w:val="0"/>
                <w:sz w:val="21"/>
                <w:szCs w:val="21"/>
              </w:rPr>
            </w:pPr>
            <w:r>
              <w:rPr>
                <w:rFonts w:hint="eastAsia" w:ascii="宋体" w:hAnsi="宋体" w:cs="宋体"/>
                <w:color w:val="000000"/>
                <w:kern w:val="0"/>
                <w:sz w:val="21"/>
                <w:szCs w:val="21"/>
              </w:rPr>
              <w:t>基于福建省市场监管经营主体数据库，提供市场监管智慧应用一体化平台代理人与联络员校验服务，申报登记和备案业务的经营主体，其委托代理人若为登记代理人，则该登记代理人不得为其他经营主体的联络员。</w:t>
            </w:r>
          </w:p>
        </w:tc>
        <w:tc>
          <w:tcPr>
            <w:tcW w:w="1418" w:type="dxa"/>
            <w:vMerge w:val="continue"/>
            <w:tcBorders>
              <w:top w:val="nil"/>
              <w:left w:val="single" w:color="auto" w:sz="4" w:space="0"/>
              <w:bottom w:val="single" w:color="000000" w:sz="4" w:space="0"/>
              <w:right w:val="double" w:color="auto" w:sz="4" w:space="0"/>
            </w:tcBorders>
            <w:vAlign w:val="center"/>
          </w:tcPr>
          <w:p w14:paraId="66BC044B">
            <w:pPr>
              <w:widowControl/>
              <w:jc w:val="left"/>
              <w:rPr>
                <w:rFonts w:ascii="宋体" w:hAnsi="宋体" w:cs="宋体"/>
                <w:kern w:val="0"/>
                <w:sz w:val="21"/>
                <w:szCs w:val="21"/>
              </w:rPr>
            </w:pPr>
          </w:p>
        </w:tc>
      </w:tr>
      <w:tr w14:paraId="2D56B3E6">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nil"/>
              <w:right w:val="single" w:color="auto" w:sz="4" w:space="0"/>
            </w:tcBorders>
            <w:vAlign w:val="center"/>
          </w:tcPr>
          <w:p w14:paraId="729C40E0">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67B7A8B0">
            <w:pPr>
              <w:widowControl/>
              <w:jc w:val="left"/>
              <w:rPr>
                <w:rFonts w:ascii="宋体" w:hAnsi="宋体" w:cs="宋体"/>
                <w:kern w:val="0"/>
                <w:sz w:val="21"/>
                <w:szCs w:val="21"/>
              </w:rPr>
            </w:pPr>
          </w:p>
        </w:tc>
        <w:tc>
          <w:tcPr>
            <w:tcW w:w="3969" w:type="dxa"/>
            <w:tcBorders>
              <w:top w:val="single" w:color="auto" w:sz="4" w:space="0"/>
              <w:left w:val="nil"/>
              <w:bottom w:val="single" w:color="auto" w:sz="4" w:space="0"/>
              <w:right w:val="single" w:color="auto" w:sz="4" w:space="0"/>
            </w:tcBorders>
            <w:shd w:val="clear" w:color="auto" w:fill="auto"/>
            <w:vAlign w:val="center"/>
          </w:tcPr>
          <w:p w14:paraId="74A1737F">
            <w:pPr>
              <w:widowControl/>
              <w:jc w:val="left"/>
              <w:rPr>
                <w:rFonts w:ascii="宋体" w:hAnsi="宋体" w:cs="宋体"/>
                <w:kern w:val="0"/>
                <w:sz w:val="21"/>
                <w:szCs w:val="21"/>
              </w:rPr>
            </w:pPr>
            <w:r>
              <w:rPr>
                <w:rFonts w:hint="eastAsia" w:ascii="宋体" w:hAnsi="宋体" w:cs="宋体"/>
                <w:kern w:val="0"/>
                <w:sz w:val="21"/>
                <w:szCs w:val="21"/>
              </w:rPr>
              <w:t>基于福建省市场监管经营主体数据库，提供市场监管智慧应用一体化平台代理人与联络员校验特例服务，申报登记和备案业务的经营主体，其委托代理人若为登记代理人，同时该代理人出资投资该经营主体，则允许该代理人出任该经营主体的联络员。</w:t>
            </w:r>
          </w:p>
        </w:tc>
        <w:tc>
          <w:tcPr>
            <w:tcW w:w="1418" w:type="dxa"/>
            <w:vMerge w:val="continue"/>
            <w:tcBorders>
              <w:top w:val="nil"/>
              <w:left w:val="single" w:color="auto" w:sz="4" w:space="0"/>
              <w:bottom w:val="single" w:color="000000" w:sz="4" w:space="0"/>
              <w:right w:val="double" w:color="auto" w:sz="4" w:space="0"/>
            </w:tcBorders>
            <w:vAlign w:val="center"/>
          </w:tcPr>
          <w:p w14:paraId="5F459747">
            <w:pPr>
              <w:widowControl/>
              <w:jc w:val="left"/>
              <w:rPr>
                <w:rFonts w:ascii="宋体" w:hAnsi="宋体" w:cs="宋体"/>
                <w:kern w:val="0"/>
                <w:sz w:val="21"/>
                <w:szCs w:val="21"/>
              </w:rPr>
            </w:pPr>
          </w:p>
        </w:tc>
      </w:tr>
      <w:tr w14:paraId="3F5C083F">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nil"/>
              <w:right w:val="single" w:color="auto" w:sz="4" w:space="0"/>
            </w:tcBorders>
            <w:vAlign w:val="center"/>
          </w:tcPr>
          <w:p w14:paraId="38ACCAF9">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2DFF31E0">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61CC55C1">
            <w:pPr>
              <w:widowControl/>
              <w:jc w:val="left"/>
              <w:rPr>
                <w:rFonts w:ascii="宋体" w:hAnsi="宋体" w:cs="宋体"/>
                <w:kern w:val="0"/>
                <w:sz w:val="21"/>
                <w:szCs w:val="21"/>
              </w:rPr>
            </w:pPr>
            <w:r>
              <w:rPr>
                <w:rFonts w:hint="eastAsia" w:ascii="宋体" w:hAnsi="宋体" w:cs="宋体"/>
                <w:kern w:val="0"/>
                <w:sz w:val="21"/>
                <w:szCs w:val="21"/>
              </w:rPr>
              <w:t>衔接市场监管总局经营主体代理人核验服务，健全市场监管智慧应用一体化平台代理人与联络员校验服务，进一步校验企业申报业务委托代理人不得担任其他企业的联络员。</w:t>
            </w:r>
          </w:p>
        </w:tc>
        <w:tc>
          <w:tcPr>
            <w:tcW w:w="1418" w:type="dxa"/>
            <w:vMerge w:val="continue"/>
            <w:tcBorders>
              <w:top w:val="nil"/>
              <w:left w:val="single" w:color="auto" w:sz="4" w:space="0"/>
              <w:bottom w:val="single" w:color="000000" w:sz="4" w:space="0"/>
              <w:right w:val="double" w:color="auto" w:sz="4" w:space="0"/>
            </w:tcBorders>
            <w:vAlign w:val="center"/>
          </w:tcPr>
          <w:p w14:paraId="748AECB6">
            <w:pPr>
              <w:widowControl/>
              <w:jc w:val="left"/>
              <w:rPr>
                <w:rFonts w:ascii="宋体" w:hAnsi="宋体" w:cs="宋体"/>
                <w:kern w:val="0"/>
                <w:sz w:val="21"/>
                <w:szCs w:val="21"/>
              </w:rPr>
            </w:pPr>
          </w:p>
        </w:tc>
      </w:tr>
      <w:tr w14:paraId="543DA724">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nil"/>
              <w:right w:val="single" w:color="auto" w:sz="4" w:space="0"/>
            </w:tcBorders>
            <w:vAlign w:val="center"/>
          </w:tcPr>
          <w:p w14:paraId="516ECFED">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35BA2B21">
            <w:pPr>
              <w:widowControl/>
              <w:jc w:val="left"/>
              <w:rPr>
                <w:rFonts w:ascii="宋体" w:hAnsi="宋体" w:cs="宋体"/>
                <w:kern w:val="0"/>
                <w:sz w:val="21"/>
                <w:szCs w:val="21"/>
              </w:rPr>
            </w:pPr>
          </w:p>
        </w:tc>
        <w:tc>
          <w:tcPr>
            <w:tcW w:w="3969" w:type="dxa"/>
            <w:tcBorders>
              <w:top w:val="nil"/>
              <w:left w:val="nil"/>
              <w:bottom w:val="nil"/>
              <w:right w:val="nil"/>
            </w:tcBorders>
            <w:shd w:val="clear" w:color="auto" w:fill="auto"/>
            <w:vAlign w:val="center"/>
          </w:tcPr>
          <w:p w14:paraId="73080BCC">
            <w:pPr>
              <w:widowControl/>
              <w:jc w:val="left"/>
              <w:rPr>
                <w:rFonts w:ascii="宋体" w:hAnsi="宋体" w:cs="宋体"/>
                <w:color w:val="000000"/>
                <w:kern w:val="0"/>
                <w:sz w:val="21"/>
                <w:szCs w:val="21"/>
              </w:rPr>
            </w:pPr>
            <w:r>
              <w:rPr>
                <w:rFonts w:hint="eastAsia" w:ascii="宋体" w:hAnsi="宋体" w:cs="宋体"/>
                <w:color w:val="000000"/>
                <w:kern w:val="0"/>
                <w:sz w:val="21"/>
                <w:szCs w:val="21"/>
              </w:rPr>
              <w:t>验证结果留存和查询。对代理人的所有核验结果，系统均进行电子化记录并长期保存。支持通过企业名称、代理人姓名等关键信息快速查询核验记录，包括核验结论及具体原因。实现核验全过程可追溯，并为监管和统计分析提供数据支持。</w:t>
            </w:r>
          </w:p>
        </w:tc>
        <w:tc>
          <w:tcPr>
            <w:tcW w:w="1418" w:type="dxa"/>
            <w:vMerge w:val="continue"/>
            <w:tcBorders>
              <w:top w:val="nil"/>
              <w:left w:val="single" w:color="auto" w:sz="4" w:space="0"/>
              <w:bottom w:val="single" w:color="000000" w:sz="4" w:space="0"/>
              <w:right w:val="double" w:color="auto" w:sz="4" w:space="0"/>
            </w:tcBorders>
            <w:vAlign w:val="center"/>
          </w:tcPr>
          <w:p w14:paraId="1D450327">
            <w:pPr>
              <w:widowControl/>
              <w:jc w:val="left"/>
              <w:rPr>
                <w:rFonts w:ascii="宋体" w:hAnsi="宋体" w:cs="宋体"/>
                <w:kern w:val="0"/>
                <w:sz w:val="21"/>
                <w:szCs w:val="21"/>
              </w:rPr>
            </w:pPr>
          </w:p>
        </w:tc>
      </w:tr>
      <w:tr w14:paraId="02BAFD79">
        <w:tblPrEx>
          <w:tblCellMar>
            <w:top w:w="0" w:type="dxa"/>
            <w:left w:w="108" w:type="dxa"/>
            <w:bottom w:w="0" w:type="dxa"/>
            <w:right w:w="108" w:type="dxa"/>
          </w:tblCellMar>
        </w:tblPrEx>
        <w:trPr>
          <w:trHeight w:val="1630" w:hRule="atLeast"/>
        </w:trPr>
        <w:tc>
          <w:tcPr>
            <w:tcW w:w="841" w:type="dxa"/>
            <w:vMerge w:val="restart"/>
            <w:tcBorders>
              <w:top w:val="single" w:color="auto" w:sz="4" w:space="0"/>
              <w:left w:val="double" w:color="auto" w:sz="4" w:space="0"/>
              <w:bottom w:val="nil"/>
              <w:right w:val="single" w:color="auto" w:sz="4" w:space="0"/>
            </w:tcBorders>
            <w:shd w:val="clear" w:color="auto" w:fill="auto"/>
            <w:noWrap/>
            <w:vAlign w:val="center"/>
          </w:tcPr>
          <w:p w14:paraId="6EDADC3A">
            <w:pPr>
              <w:widowControl/>
              <w:jc w:val="center"/>
              <w:rPr>
                <w:rFonts w:ascii="宋体" w:hAnsi="宋体" w:cs="宋体"/>
                <w:kern w:val="0"/>
                <w:sz w:val="21"/>
                <w:szCs w:val="21"/>
              </w:rPr>
            </w:pPr>
            <w:r>
              <w:rPr>
                <w:rFonts w:hint="eastAsia" w:ascii="宋体" w:hAnsi="宋体" w:cs="宋体"/>
                <w:kern w:val="0"/>
                <w:sz w:val="21"/>
                <w:szCs w:val="21"/>
              </w:rPr>
              <w:t>2</w:t>
            </w:r>
          </w:p>
        </w:tc>
        <w:tc>
          <w:tcPr>
            <w:tcW w:w="19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7C282C">
            <w:pPr>
              <w:widowControl/>
              <w:jc w:val="left"/>
              <w:rPr>
                <w:rFonts w:ascii="宋体" w:hAnsi="宋体" w:cs="宋体"/>
                <w:kern w:val="0"/>
                <w:sz w:val="21"/>
                <w:szCs w:val="21"/>
              </w:rPr>
            </w:pPr>
            <w:r>
              <w:rPr>
                <w:rFonts w:hint="eastAsia" w:ascii="宋体" w:hAnsi="宋体" w:cs="宋体"/>
                <w:kern w:val="0"/>
                <w:sz w:val="21"/>
                <w:szCs w:val="21"/>
              </w:rPr>
              <w:t>登记注册联络员备案信息核验服务</w:t>
            </w:r>
          </w:p>
        </w:tc>
        <w:tc>
          <w:tcPr>
            <w:tcW w:w="3969" w:type="dxa"/>
            <w:tcBorders>
              <w:top w:val="nil"/>
              <w:left w:val="nil"/>
              <w:bottom w:val="nil"/>
              <w:right w:val="nil"/>
            </w:tcBorders>
            <w:shd w:val="clear" w:color="auto" w:fill="auto"/>
            <w:vAlign w:val="center"/>
          </w:tcPr>
          <w:p w14:paraId="156B5D9D">
            <w:pPr>
              <w:widowControl/>
              <w:jc w:val="left"/>
              <w:rPr>
                <w:rFonts w:ascii="宋体" w:hAnsi="宋体" w:cs="宋体"/>
                <w:color w:val="000000"/>
                <w:kern w:val="0"/>
                <w:sz w:val="21"/>
                <w:szCs w:val="21"/>
              </w:rPr>
            </w:pPr>
            <w:r>
              <w:rPr>
                <w:rFonts w:hint="eastAsia" w:ascii="宋体" w:hAnsi="宋体" w:cs="宋体"/>
                <w:color w:val="000000"/>
                <w:kern w:val="0"/>
                <w:sz w:val="21"/>
                <w:szCs w:val="21"/>
              </w:rPr>
              <w:t>调整公司联络员备案业务，针对公司联络员备案增加代理人信息核验，调用一体化平台代理人校验服务，实现代理人信息备案核验、代理人与联络员关联校验，并校验联络员和代理人必须为年满</w:t>
            </w:r>
            <w:r>
              <w:rPr>
                <w:rFonts w:ascii="Times New Roman" w:hAnsi="Times New Roman" w:cs="Times New Roman"/>
                <w:color w:val="000000"/>
                <w:kern w:val="0"/>
                <w:sz w:val="21"/>
                <w:szCs w:val="21"/>
              </w:rPr>
              <w:t>18</w:t>
            </w:r>
            <w:r>
              <w:rPr>
                <w:rFonts w:hint="eastAsia" w:ascii="宋体" w:hAnsi="宋体" w:cs="宋体"/>
                <w:color w:val="000000"/>
                <w:kern w:val="0"/>
                <w:sz w:val="21"/>
                <w:szCs w:val="21"/>
              </w:rPr>
              <w:t>周岁，具备完全民事行为能力的自然人。符合总局、一体化代理人校验中心的互联网业务办件才能发起申报，登记人员才可进行业务登记备案。保障登记备案业务符合《公司法》《中华人民共和国反洗钱法》《中华人民共和国反电信网络诈骗法》《中华人民共和国市场主体登记管理条例》《经营主体登记申请及代理行为管理办法》相关要求，依法依规办理业务登记。</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7A78382B">
            <w:pPr>
              <w:widowControl/>
              <w:jc w:val="center"/>
              <w:rPr>
                <w:rFonts w:ascii="宋体" w:hAnsi="宋体" w:cs="宋体"/>
                <w:kern w:val="0"/>
                <w:sz w:val="21"/>
                <w:szCs w:val="21"/>
              </w:rPr>
            </w:pPr>
          </w:p>
        </w:tc>
      </w:tr>
      <w:tr w14:paraId="57A8E1DA">
        <w:tblPrEx>
          <w:tblCellMar>
            <w:top w:w="0" w:type="dxa"/>
            <w:left w:w="108" w:type="dxa"/>
            <w:bottom w:w="0" w:type="dxa"/>
            <w:right w:w="108" w:type="dxa"/>
          </w:tblCellMar>
        </w:tblPrEx>
        <w:trPr>
          <w:trHeight w:val="1630" w:hRule="atLeast"/>
        </w:trPr>
        <w:tc>
          <w:tcPr>
            <w:tcW w:w="841" w:type="dxa"/>
            <w:vMerge w:val="continue"/>
            <w:tcBorders>
              <w:top w:val="single" w:color="auto" w:sz="4" w:space="0"/>
              <w:left w:val="double" w:color="auto" w:sz="4" w:space="0"/>
              <w:bottom w:val="nil"/>
              <w:right w:val="single" w:color="auto" w:sz="4" w:space="0"/>
            </w:tcBorders>
            <w:vAlign w:val="center"/>
          </w:tcPr>
          <w:p w14:paraId="5B5C5737">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38D20A60">
            <w:pPr>
              <w:widowControl/>
              <w:jc w:val="left"/>
              <w:rPr>
                <w:rFonts w:ascii="宋体" w:hAnsi="宋体" w:cs="宋体"/>
                <w:kern w:val="0"/>
                <w:sz w:val="21"/>
                <w:szCs w:val="21"/>
              </w:rPr>
            </w:pPr>
          </w:p>
        </w:tc>
        <w:tc>
          <w:tcPr>
            <w:tcW w:w="3969" w:type="dxa"/>
            <w:tcBorders>
              <w:top w:val="nil"/>
              <w:left w:val="nil"/>
              <w:bottom w:val="nil"/>
              <w:right w:val="nil"/>
            </w:tcBorders>
            <w:shd w:val="clear" w:color="auto" w:fill="auto"/>
            <w:vAlign w:val="center"/>
          </w:tcPr>
          <w:p w14:paraId="4F01E456">
            <w:pPr>
              <w:widowControl/>
              <w:jc w:val="left"/>
              <w:rPr>
                <w:rFonts w:ascii="宋体" w:hAnsi="宋体" w:cs="宋体"/>
                <w:color w:val="000000"/>
                <w:kern w:val="0"/>
                <w:sz w:val="21"/>
                <w:szCs w:val="21"/>
              </w:rPr>
            </w:pPr>
            <w:r>
              <w:rPr>
                <w:rFonts w:hint="eastAsia" w:ascii="宋体" w:hAnsi="宋体" w:cs="宋体"/>
                <w:color w:val="000000"/>
                <w:kern w:val="0"/>
                <w:sz w:val="21"/>
                <w:szCs w:val="21"/>
              </w:rPr>
              <w:t>调整非公司企业法人联络员备案业务，针对非公司企业法人联络员备案增加代理人信息核验，调用一体化平台代理人校验服务，实现代理人信息备案核验、代理人与联络员关联校验，并校验联络员和代理人必须为年满</w:t>
            </w:r>
            <w:r>
              <w:rPr>
                <w:rFonts w:ascii="Times New Roman" w:hAnsi="Times New Roman" w:cs="Times New Roman"/>
                <w:color w:val="000000"/>
                <w:kern w:val="0"/>
                <w:sz w:val="21"/>
                <w:szCs w:val="21"/>
              </w:rPr>
              <w:t>18</w:t>
            </w:r>
            <w:r>
              <w:rPr>
                <w:rFonts w:hint="eastAsia" w:ascii="宋体" w:hAnsi="宋体" w:cs="宋体"/>
                <w:color w:val="000000"/>
                <w:kern w:val="0"/>
                <w:sz w:val="21"/>
                <w:szCs w:val="21"/>
              </w:rPr>
              <w:t>周岁，具备完全民事行为能力的自然人。符合总局、一体化代理人校验中心的互联网业务办件才能发起申报，登记人员才可进行业务登记备案。保障登记备案业务符合《公司法》《中华人民共和国反洗钱法》《中华人民共和国反电信网络诈骗法》《中华人民共和国市场主体登记管理条例》《经营主体登记申请及代理行为管理办法》相关要求，依法依规办理业务登记。</w:t>
            </w:r>
          </w:p>
        </w:tc>
        <w:tc>
          <w:tcPr>
            <w:tcW w:w="1418" w:type="dxa"/>
            <w:vMerge w:val="continue"/>
            <w:tcBorders>
              <w:top w:val="nil"/>
              <w:left w:val="single" w:color="auto" w:sz="4" w:space="0"/>
              <w:bottom w:val="single" w:color="000000" w:sz="4" w:space="0"/>
              <w:right w:val="double" w:color="auto" w:sz="4" w:space="0"/>
            </w:tcBorders>
            <w:vAlign w:val="center"/>
          </w:tcPr>
          <w:p w14:paraId="6D6E035C">
            <w:pPr>
              <w:widowControl/>
              <w:jc w:val="left"/>
              <w:rPr>
                <w:rFonts w:ascii="宋体" w:hAnsi="宋体" w:cs="宋体"/>
                <w:kern w:val="0"/>
                <w:sz w:val="21"/>
                <w:szCs w:val="21"/>
              </w:rPr>
            </w:pPr>
          </w:p>
        </w:tc>
      </w:tr>
      <w:tr w14:paraId="72F1F65A">
        <w:tblPrEx>
          <w:tblCellMar>
            <w:top w:w="0" w:type="dxa"/>
            <w:left w:w="108" w:type="dxa"/>
            <w:bottom w:w="0" w:type="dxa"/>
            <w:right w:w="108" w:type="dxa"/>
          </w:tblCellMar>
        </w:tblPrEx>
        <w:trPr>
          <w:trHeight w:val="1630" w:hRule="atLeast"/>
        </w:trPr>
        <w:tc>
          <w:tcPr>
            <w:tcW w:w="841" w:type="dxa"/>
            <w:vMerge w:val="continue"/>
            <w:tcBorders>
              <w:top w:val="single" w:color="auto" w:sz="4" w:space="0"/>
              <w:left w:val="double" w:color="auto" w:sz="4" w:space="0"/>
              <w:bottom w:val="nil"/>
              <w:right w:val="single" w:color="auto" w:sz="4" w:space="0"/>
            </w:tcBorders>
            <w:vAlign w:val="center"/>
          </w:tcPr>
          <w:p w14:paraId="4E076764">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0F5AC755">
            <w:pPr>
              <w:widowControl/>
              <w:jc w:val="left"/>
              <w:rPr>
                <w:rFonts w:ascii="宋体" w:hAnsi="宋体" w:cs="宋体"/>
                <w:kern w:val="0"/>
                <w:sz w:val="21"/>
                <w:szCs w:val="21"/>
              </w:rPr>
            </w:pPr>
          </w:p>
        </w:tc>
        <w:tc>
          <w:tcPr>
            <w:tcW w:w="3969" w:type="dxa"/>
            <w:tcBorders>
              <w:top w:val="nil"/>
              <w:left w:val="nil"/>
              <w:bottom w:val="nil"/>
              <w:right w:val="nil"/>
            </w:tcBorders>
            <w:shd w:val="clear" w:color="auto" w:fill="auto"/>
            <w:vAlign w:val="center"/>
          </w:tcPr>
          <w:p w14:paraId="1A75D0D6">
            <w:pPr>
              <w:widowControl/>
              <w:jc w:val="left"/>
              <w:rPr>
                <w:rFonts w:ascii="宋体" w:hAnsi="宋体" w:cs="宋体"/>
                <w:color w:val="000000"/>
                <w:kern w:val="0"/>
                <w:sz w:val="21"/>
                <w:szCs w:val="21"/>
              </w:rPr>
            </w:pPr>
            <w:r>
              <w:rPr>
                <w:rFonts w:hint="eastAsia" w:ascii="宋体" w:hAnsi="宋体" w:cs="宋体"/>
                <w:color w:val="000000"/>
                <w:kern w:val="0"/>
                <w:sz w:val="21"/>
                <w:szCs w:val="21"/>
              </w:rPr>
              <w:t>调整合伙企业联络员备案业务，针对合伙企业联络员备案增加代理人信息核验，调用一体化平台代理人校验服务，实现代理人信息备案核验、代理人与联络员关联校验，并校验联络员和代理人必须为年满</w:t>
            </w:r>
            <w:r>
              <w:rPr>
                <w:rFonts w:ascii="Times New Roman" w:hAnsi="Times New Roman" w:cs="Times New Roman"/>
                <w:color w:val="000000"/>
                <w:kern w:val="0"/>
                <w:sz w:val="21"/>
                <w:szCs w:val="21"/>
              </w:rPr>
              <w:t>18</w:t>
            </w:r>
            <w:r>
              <w:rPr>
                <w:rFonts w:hint="eastAsia" w:ascii="宋体" w:hAnsi="宋体" w:cs="宋体"/>
                <w:color w:val="000000"/>
                <w:kern w:val="0"/>
                <w:sz w:val="21"/>
                <w:szCs w:val="21"/>
              </w:rPr>
              <w:t>周岁，具备完全民事行为能力的自然人。符合总局、一体化代理人校验中心的互联网业务办件才能发起申报，登记人员才可进行业务登记备案。保障登记备案业务符合《公司法》《中华人民共和国反洗钱法》《中华人民共和国反电信网络诈骗法》《中华人民共和国市场主体登记管理条例》《经营主体登记申请及代理行为管理办法》相关要求，依法依规办理业务登记。</w:t>
            </w:r>
          </w:p>
        </w:tc>
        <w:tc>
          <w:tcPr>
            <w:tcW w:w="1418" w:type="dxa"/>
            <w:vMerge w:val="continue"/>
            <w:tcBorders>
              <w:top w:val="nil"/>
              <w:left w:val="single" w:color="auto" w:sz="4" w:space="0"/>
              <w:bottom w:val="single" w:color="000000" w:sz="4" w:space="0"/>
              <w:right w:val="double" w:color="auto" w:sz="4" w:space="0"/>
            </w:tcBorders>
            <w:vAlign w:val="center"/>
          </w:tcPr>
          <w:p w14:paraId="16BC437C">
            <w:pPr>
              <w:widowControl/>
              <w:jc w:val="left"/>
              <w:rPr>
                <w:rFonts w:ascii="宋体" w:hAnsi="宋体" w:cs="宋体"/>
                <w:kern w:val="0"/>
                <w:sz w:val="21"/>
                <w:szCs w:val="21"/>
              </w:rPr>
            </w:pPr>
          </w:p>
        </w:tc>
      </w:tr>
      <w:tr w14:paraId="0130CD32">
        <w:tblPrEx>
          <w:tblCellMar>
            <w:top w:w="0" w:type="dxa"/>
            <w:left w:w="108" w:type="dxa"/>
            <w:bottom w:w="0" w:type="dxa"/>
            <w:right w:w="108" w:type="dxa"/>
          </w:tblCellMar>
        </w:tblPrEx>
        <w:trPr>
          <w:trHeight w:val="1630" w:hRule="atLeast"/>
        </w:trPr>
        <w:tc>
          <w:tcPr>
            <w:tcW w:w="841" w:type="dxa"/>
            <w:vMerge w:val="continue"/>
            <w:tcBorders>
              <w:top w:val="single" w:color="auto" w:sz="4" w:space="0"/>
              <w:left w:val="double" w:color="auto" w:sz="4" w:space="0"/>
              <w:bottom w:val="nil"/>
              <w:right w:val="single" w:color="auto" w:sz="4" w:space="0"/>
            </w:tcBorders>
            <w:vAlign w:val="center"/>
          </w:tcPr>
          <w:p w14:paraId="2E5C2C7A">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0B1AB712">
            <w:pPr>
              <w:widowControl/>
              <w:jc w:val="left"/>
              <w:rPr>
                <w:rFonts w:ascii="宋体" w:hAnsi="宋体" w:cs="宋体"/>
                <w:kern w:val="0"/>
                <w:sz w:val="21"/>
                <w:szCs w:val="21"/>
              </w:rPr>
            </w:pPr>
          </w:p>
        </w:tc>
        <w:tc>
          <w:tcPr>
            <w:tcW w:w="3969" w:type="dxa"/>
            <w:tcBorders>
              <w:top w:val="nil"/>
              <w:left w:val="nil"/>
              <w:bottom w:val="nil"/>
              <w:right w:val="nil"/>
            </w:tcBorders>
            <w:shd w:val="clear" w:color="auto" w:fill="auto"/>
            <w:vAlign w:val="center"/>
          </w:tcPr>
          <w:p w14:paraId="75D920C0">
            <w:pPr>
              <w:widowControl/>
              <w:jc w:val="left"/>
              <w:rPr>
                <w:rFonts w:ascii="宋体" w:hAnsi="宋体" w:cs="宋体"/>
                <w:color w:val="000000"/>
                <w:kern w:val="0"/>
                <w:sz w:val="21"/>
                <w:szCs w:val="21"/>
              </w:rPr>
            </w:pPr>
            <w:r>
              <w:rPr>
                <w:rFonts w:hint="eastAsia" w:ascii="宋体" w:hAnsi="宋体" w:cs="宋体"/>
                <w:color w:val="000000"/>
                <w:kern w:val="0"/>
                <w:sz w:val="21"/>
                <w:szCs w:val="21"/>
              </w:rPr>
              <w:t>调整个人独资企业联络员备案业务，针对个人独资企业联络员备案增加代理人信息核验，调用一体化平台代理人校验服务，实现代理人信息备案核验、代理人与联络员关联校验，并校验联络员和代理人必须为年满</w:t>
            </w:r>
            <w:r>
              <w:rPr>
                <w:rFonts w:ascii="Times New Roman" w:hAnsi="Times New Roman" w:cs="Times New Roman"/>
                <w:color w:val="000000"/>
                <w:kern w:val="0"/>
                <w:sz w:val="21"/>
                <w:szCs w:val="21"/>
              </w:rPr>
              <w:t>18</w:t>
            </w:r>
            <w:r>
              <w:rPr>
                <w:rFonts w:hint="eastAsia" w:ascii="宋体" w:hAnsi="宋体" w:cs="宋体"/>
                <w:color w:val="000000"/>
                <w:kern w:val="0"/>
                <w:sz w:val="21"/>
                <w:szCs w:val="21"/>
              </w:rPr>
              <w:t>周岁，具备完全民事行为能力的自然人。符合总局、一体化代理人校验中心的互联网业务办件才能发起申报，登记人员才可进行业务登记备案。保障登记备案业务符合《公司法》《中华人民共和国反洗钱法》《中华人民共和国反电信网络诈骗法》《中华人民共和国市场主体登记管理条例》《经营主体登记申请及代理行为管理办法》相关要求，依法依规办理业务登记。</w:t>
            </w:r>
          </w:p>
        </w:tc>
        <w:tc>
          <w:tcPr>
            <w:tcW w:w="1418" w:type="dxa"/>
            <w:vMerge w:val="continue"/>
            <w:tcBorders>
              <w:top w:val="nil"/>
              <w:left w:val="single" w:color="auto" w:sz="4" w:space="0"/>
              <w:bottom w:val="single" w:color="000000" w:sz="4" w:space="0"/>
              <w:right w:val="double" w:color="auto" w:sz="4" w:space="0"/>
            </w:tcBorders>
            <w:vAlign w:val="center"/>
          </w:tcPr>
          <w:p w14:paraId="158F5EF1">
            <w:pPr>
              <w:widowControl/>
              <w:jc w:val="left"/>
              <w:rPr>
                <w:rFonts w:ascii="宋体" w:hAnsi="宋体" w:cs="宋体"/>
                <w:kern w:val="0"/>
                <w:sz w:val="21"/>
                <w:szCs w:val="21"/>
              </w:rPr>
            </w:pPr>
          </w:p>
        </w:tc>
      </w:tr>
      <w:tr w14:paraId="2F95AB2A">
        <w:tblPrEx>
          <w:tblCellMar>
            <w:top w:w="0" w:type="dxa"/>
            <w:left w:w="108" w:type="dxa"/>
            <w:bottom w:w="0" w:type="dxa"/>
            <w:right w:w="108" w:type="dxa"/>
          </w:tblCellMar>
        </w:tblPrEx>
        <w:trPr>
          <w:trHeight w:val="1630" w:hRule="atLeast"/>
        </w:trPr>
        <w:tc>
          <w:tcPr>
            <w:tcW w:w="841" w:type="dxa"/>
            <w:vMerge w:val="continue"/>
            <w:tcBorders>
              <w:top w:val="single" w:color="auto" w:sz="4" w:space="0"/>
              <w:left w:val="double" w:color="auto" w:sz="4" w:space="0"/>
              <w:bottom w:val="nil"/>
              <w:right w:val="single" w:color="auto" w:sz="4" w:space="0"/>
            </w:tcBorders>
            <w:vAlign w:val="center"/>
          </w:tcPr>
          <w:p w14:paraId="4715160A">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37765A9E">
            <w:pPr>
              <w:widowControl/>
              <w:jc w:val="left"/>
              <w:rPr>
                <w:rFonts w:ascii="宋体" w:hAnsi="宋体" w:cs="宋体"/>
                <w:kern w:val="0"/>
                <w:sz w:val="21"/>
                <w:szCs w:val="21"/>
              </w:rPr>
            </w:pPr>
          </w:p>
        </w:tc>
        <w:tc>
          <w:tcPr>
            <w:tcW w:w="3969" w:type="dxa"/>
            <w:tcBorders>
              <w:top w:val="nil"/>
              <w:left w:val="nil"/>
              <w:bottom w:val="nil"/>
              <w:right w:val="nil"/>
            </w:tcBorders>
            <w:shd w:val="clear" w:color="auto" w:fill="auto"/>
            <w:vAlign w:val="center"/>
          </w:tcPr>
          <w:p w14:paraId="69D79D0C">
            <w:pPr>
              <w:widowControl/>
              <w:jc w:val="left"/>
              <w:rPr>
                <w:rFonts w:ascii="宋体" w:hAnsi="宋体" w:cs="宋体"/>
                <w:color w:val="000000"/>
                <w:kern w:val="0"/>
                <w:sz w:val="21"/>
                <w:szCs w:val="21"/>
              </w:rPr>
            </w:pPr>
            <w:r>
              <w:rPr>
                <w:rFonts w:hint="eastAsia" w:ascii="宋体" w:hAnsi="宋体" w:cs="宋体"/>
                <w:color w:val="000000"/>
                <w:kern w:val="0"/>
                <w:sz w:val="21"/>
                <w:szCs w:val="21"/>
              </w:rPr>
              <w:t>调整分公司、分支机构联络员备案业务，针对分公司、分支机构联络员备案增加代理人信息核验，调用一体化平台代理人校验服务，实现代理人信息备案核验、代理人与联络员关联校验，并校验联络员和代理人必须为年满</w:t>
            </w:r>
            <w:r>
              <w:rPr>
                <w:rFonts w:ascii="Times New Roman" w:hAnsi="Times New Roman" w:cs="Times New Roman"/>
                <w:color w:val="000000"/>
                <w:kern w:val="0"/>
                <w:sz w:val="21"/>
                <w:szCs w:val="21"/>
              </w:rPr>
              <w:t>18</w:t>
            </w:r>
            <w:r>
              <w:rPr>
                <w:rFonts w:hint="eastAsia" w:ascii="宋体" w:hAnsi="宋体" w:cs="宋体"/>
                <w:color w:val="000000"/>
                <w:kern w:val="0"/>
                <w:sz w:val="21"/>
                <w:szCs w:val="21"/>
              </w:rPr>
              <w:t>周岁，具备完全民事行为能力的自然人。符合总局、一体化代理人校验中心的互联网业务办件才能发起申报，登记人员才可进行业务登记备案。保障登记备案业务符合《公司法》《中华人民共和国反洗钱法》《中华人民共和国反电信网络诈骗法》《中华人民共和国市场主体登记管理条例》《经营主体登记申请及代理行为管理办法》相关要求，依法依规办理业务登记。</w:t>
            </w:r>
          </w:p>
        </w:tc>
        <w:tc>
          <w:tcPr>
            <w:tcW w:w="1418" w:type="dxa"/>
            <w:vMerge w:val="continue"/>
            <w:tcBorders>
              <w:top w:val="nil"/>
              <w:left w:val="single" w:color="auto" w:sz="4" w:space="0"/>
              <w:bottom w:val="single" w:color="000000" w:sz="4" w:space="0"/>
              <w:right w:val="double" w:color="auto" w:sz="4" w:space="0"/>
            </w:tcBorders>
            <w:vAlign w:val="center"/>
          </w:tcPr>
          <w:p w14:paraId="3D3238B3">
            <w:pPr>
              <w:widowControl/>
              <w:jc w:val="left"/>
              <w:rPr>
                <w:rFonts w:ascii="宋体" w:hAnsi="宋体" w:cs="宋体"/>
                <w:kern w:val="0"/>
                <w:sz w:val="21"/>
                <w:szCs w:val="21"/>
              </w:rPr>
            </w:pPr>
          </w:p>
        </w:tc>
      </w:tr>
      <w:tr w14:paraId="5C25E2B1">
        <w:tblPrEx>
          <w:tblCellMar>
            <w:top w:w="0" w:type="dxa"/>
            <w:left w:w="108" w:type="dxa"/>
            <w:bottom w:w="0" w:type="dxa"/>
            <w:right w:w="108" w:type="dxa"/>
          </w:tblCellMar>
        </w:tblPrEx>
        <w:trPr>
          <w:trHeight w:val="1630" w:hRule="atLeast"/>
        </w:trPr>
        <w:tc>
          <w:tcPr>
            <w:tcW w:w="841" w:type="dxa"/>
            <w:vMerge w:val="continue"/>
            <w:tcBorders>
              <w:top w:val="single" w:color="auto" w:sz="4" w:space="0"/>
              <w:left w:val="double" w:color="auto" w:sz="4" w:space="0"/>
              <w:bottom w:val="nil"/>
              <w:right w:val="single" w:color="auto" w:sz="4" w:space="0"/>
            </w:tcBorders>
            <w:vAlign w:val="center"/>
          </w:tcPr>
          <w:p w14:paraId="34372AFE">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6BB85BDC">
            <w:pPr>
              <w:widowControl/>
              <w:jc w:val="left"/>
              <w:rPr>
                <w:rFonts w:ascii="宋体" w:hAnsi="宋体" w:cs="宋体"/>
                <w:kern w:val="0"/>
                <w:sz w:val="21"/>
                <w:szCs w:val="21"/>
              </w:rPr>
            </w:pPr>
          </w:p>
        </w:tc>
        <w:tc>
          <w:tcPr>
            <w:tcW w:w="3969" w:type="dxa"/>
            <w:tcBorders>
              <w:top w:val="nil"/>
              <w:left w:val="nil"/>
              <w:bottom w:val="nil"/>
              <w:right w:val="nil"/>
            </w:tcBorders>
            <w:shd w:val="clear" w:color="auto" w:fill="auto"/>
            <w:vAlign w:val="center"/>
          </w:tcPr>
          <w:p w14:paraId="31B1AE24">
            <w:pPr>
              <w:widowControl/>
              <w:jc w:val="left"/>
              <w:rPr>
                <w:rFonts w:ascii="宋体" w:hAnsi="宋体" w:cs="宋体"/>
                <w:color w:val="000000"/>
                <w:kern w:val="0"/>
                <w:sz w:val="21"/>
                <w:szCs w:val="21"/>
              </w:rPr>
            </w:pPr>
            <w:r>
              <w:rPr>
                <w:rFonts w:hint="eastAsia" w:ascii="宋体" w:hAnsi="宋体" w:cs="宋体"/>
                <w:color w:val="000000"/>
                <w:kern w:val="0"/>
                <w:sz w:val="21"/>
                <w:szCs w:val="21"/>
              </w:rPr>
              <w:t>调整农民专业合作社及其分支机构联络员备案业务，针对农民专业合作社及其分支机构联络员备案增加代理人信息核验，调用一体化平台代理人校验服务，实现代理人信息备案核验、代理人与联络员关联校验，并校验联络员和代理人必须为年满</w:t>
            </w:r>
            <w:r>
              <w:rPr>
                <w:rFonts w:ascii="Times New Roman" w:hAnsi="Times New Roman" w:cs="Times New Roman"/>
                <w:color w:val="000000"/>
                <w:kern w:val="0"/>
                <w:sz w:val="21"/>
                <w:szCs w:val="21"/>
              </w:rPr>
              <w:t>18</w:t>
            </w:r>
            <w:r>
              <w:rPr>
                <w:rFonts w:hint="eastAsia" w:ascii="宋体" w:hAnsi="宋体" w:cs="宋体"/>
                <w:color w:val="000000"/>
                <w:kern w:val="0"/>
                <w:sz w:val="21"/>
                <w:szCs w:val="21"/>
              </w:rPr>
              <w:t>周岁，具备完全民事行为能力的自然人。符合总局、一体化代理人校验中心的互联网业务办件才能发起申报，登记人员才可进行业务登记备案。保障登记备案业务符合《公司法》《中华人民共和国反洗钱法》《中华人民共和国反电信网络诈骗法》《中华人民共和国市场主体登记管理条例》《经营主体登记申请及代理行为管理办法》相关要求，依法依规办理业务登记。</w:t>
            </w:r>
          </w:p>
        </w:tc>
        <w:tc>
          <w:tcPr>
            <w:tcW w:w="1418" w:type="dxa"/>
            <w:vMerge w:val="continue"/>
            <w:tcBorders>
              <w:top w:val="nil"/>
              <w:left w:val="single" w:color="auto" w:sz="4" w:space="0"/>
              <w:bottom w:val="single" w:color="000000" w:sz="4" w:space="0"/>
              <w:right w:val="double" w:color="auto" w:sz="4" w:space="0"/>
            </w:tcBorders>
            <w:vAlign w:val="center"/>
          </w:tcPr>
          <w:p w14:paraId="72C0B00B">
            <w:pPr>
              <w:widowControl/>
              <w:jc w:val="left"/>
              <w:rPr>
                <w:rFonts w:ascii="宋体" w:hAnsi="宋体" w:cs="宋体"/>
                <w:kern w:val="0"/>
                <w:sz w:val="21"/>
                <w:szCs w:val="21"/>
              </w:rPr>
            </w:pPr>
          </w:p>
        </w:tc>
      </w:tr>
      <w:tr w14:paraId="44944E89">
        <w:tblPrEx>
          <w:tblCellMar>
            <w:top w:w="0" w:type="dxa"/>
            <w:left w:w="108" w:type="dxa"/>
            <w:bottom w:w="0" w:type="dxa"/>
            <w:right w:w="108" w:type="dxa"/>
          </w:tblCellMar>
        </w:tblPrEx>
        <w:trPr>
          <w:trHeight w:val="1630" w:hRule="atLeast"/>
        </w:trPr>
        <w:tc>
          <w:tcPr>
            <w:tcW w:w="841" w:type="dxa"/>
            <w:vMerge w:val="continue"/>
            <w:tcBorders>
              <w:top w:val="single" w:color="auto" w:sz="4" w:space="0"/>
              <w:left w:val="double" w:color="auto" w:sz="4" w:space="0"/>
              <w:bottom w:val="nil"/>
              <w:right w:val="single" w:color="auto" w:sz="4" w:space="0"/>
            </w:tcBorders>
            <w:vAlign w:val="center"/>
          </w:tcPr>
          <w:p w14:paraId="5D788D96">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73B93DAC">
            <w:pPr>
              <w:widowControl/>
              <w:jc w:val="left"/>
              <w:rPr>
                <w:rFonts w:ascii="宋体" w:hAnsi="宋体" w:cs="宋体"/>
                <w:kern w:val="0"/>
                <w:sz w:val="21"/>
                <w:szCs w:val="21"/>
              </w:rPr>
            </w:pPr>
          </w:p>
        </w:tc>
        <w:tc>
          <w:tcPr>
            <w:tcW w:w="3969" w:type="dxa"/>
            <w:tcBorders>
              <w:top w:val="nil"/>
              <w:left w:val="nil"/>
              <w:bottom w:val="nil"/>
              <w:right w:val="nil"/>
            </w:tcBorders>
            <w:shd w:val="clear" w:color="auto" w:fill="auto"/>
            <w:vAlign w:val="center"/>
          </w:tcPr>
          <w:p w14:paraId="72C7D75E">
            <w:pPr>
              <w:widowControl/>
              <w:jc w:val="left"/>
              <w:rPr>
                <w:rFonts w:ascii="宋体" w:hAnsi="宋体" w:cs="宋体"/>
                <w:color w:val="000000"/>
                <w:kern w:val="0"/>
                <w:sz w:val="21"/>
                <w:szCs w:val="21"/>
              </w:rPr>
            </w:pPr>
            <w:r>
              <w:rPr>
                <w:rFonts w:hint="eastAsia" w:ascii="宋体" w:hAnsi="宋体" w:cs="宋体"/>
                <w:color w:val="000000"/>
                <w:kern w:val="0"/>
                <w:sz w:val="21"/>
                <w:szCs w:val="21"/>
              </w:rPr>
              <w:t>调整个体工商户联络员备案业务，针对个体工商户联络员备案增加代理人信息核验，调用一体化平台代理人校验服务，实现代理人信息备案核验、代理人与联络员关联校验，并校验联络员和代理人必须为年满</w:t>
            </w:r>
            <w:r>
              <w:rPr>
                <w:rFonts w:ascii="Times New Roman" w:hAnsi="Times New Roman" w:cs="Times New Roman"/>
                <w:color w:val="000000"/>
                <w:kern w:val="0"/>
                <w:sz w:val="21"/>
                <w:szCs w:val="21"/>
              </w:rPr>
              <w:t>18</w:t>
            </w:r>
            <w:r>
              <w:rPr>
                <w:rFonts w:hint="eastAsia" w:ascii="宋体" w:hAnsi="宋体" w:cs="宋体"/>
                <w:color w:val="000000"/>
                <w:kern w:val="0"/>
                <w:sz w:val="21"/>
                <w:szCs w:val="21"/>
              </w:rPr>
              <w:t>周岁，具备完全民事行为能力的自然人。符合总局、一体化代理人校验中心的互联网业务办件才能发起申报，登记人员才可进行业务登记备案。保障登记备案业务符合《公司法》《中华人民共和国反洗钱法》《中华人民共和国反电信网络诈骗法》《中华人民共和国市场主体登记管理条例》《经营主体登记申请及代理行为管理办法》相关要求，依法依规办理业务登记。</w:t>
            </w:r>
          </w:p>
        </w:tc>
        <w:tc>
          <w:tcPr>
            <w:tcW w:w="1418" w:type="dxa"/>
            <w:vMerge w:val="continue"/>
            <w:tcBorders>
              <w:top w:val="nil"/>
              <w:left w:val="single" w:color="auto" w:sz="4" w:space="0"/>
              <w:bottom w:val="single" w:color="000000" w:sz="4" w:space="0"/>
              <w:right w:val="double" w:color="auto" w:sz="4" w:space="0"/>
            </w:tcBorders>
            <w:vAlign w:val="center"/>
          </w:tcPr>
          <w:p w14:paraId="571C7E91">
            <w:pPr>
              <w:widowControl/>
              <w:jc w:val="left"/>
              <w:rPr>
                <w:rFonts w:ascii="宋体" w:hAnsi="宋体" w:cs="宋体"/>
                <w:kern w:val="0"/>
                <w:sz w:val="21"/>
                <w:szCs w:val="21"/>
              </w:rPr>
            </w:pPr>
          </w:p>
        </w:tc>
      </w:tr>
      <w:tr w14:paraId="5926920A">
        <w:tblPrEx>
          <w:tblCellMar>
            <w:top w:w="0" w:type="dxa"/>
            <w:left w:w="108" w:type="dxa"/>
            <w:bottom w:w="0" w:type="dxa"/>
            <w:right w:w="108" w:type="dxa"/>
          </w:tblCellMar>
        </w:tblPrEx>
        <w:trPr>
          <w:trHeight w:val="1900" w:hRule="atLeast"/>
        </w:trPr>
        <w:tc>
          <w:tcPr>
            <w:tcW w:w="841" w:type="dxa"/>
            <w:vMerge w:val="continue"/>
            <w:tcBorders>
              <w:top w:val="single" w:color="auto" w:sz="4" w:space="0"/>
              <w:left w:val="double" w:color="auto" w:sz="4" w:space="0"/>
              <w:bottom w:val="nil"/>
              <w:right w:val="single" w:color="auto" w:sz="4" w:space="0"/>
            </w:tcBorders>
            <w:vAlign w:val="center"/>
          </w:tcPr>
          <w:p w14:paraId="105965A1">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17D7401D">
            <w:pPr>
              <w:widowControl/>
              <w:jc w:val="left"/>
              <w:rPr>
                <w:rFonts w:ascii="宋体" w:hAnsi="宋体" w:cs="宋体"/>
                <w:kern w:val="0"/>
                <w:sz w:val="21"/>
                <w:szCs w:val="21"/>
              </w:rPr>
            </w:pPr>
          </w:p>
        </w:tc>
        <w:tc>
          <w:tcPr>
            <w:tcW w:w="3969" w:type="dxa"/>
            <w:tcBorders>
              <w:top w:val="nil"/>
              <w:left w:val="nil"/>
              <w:bottom w:val="nil"/>
              <w:right w:val="nil"/>
            </w:tcBorders>
            <w:shd w:val="clear" w:color="auto" w:fill="auto"/>
            <w:vAlign w:val="center"/>
          </w:tcPr>
          <w:p w14:paraId="1122B321">
            <w:pPr>
              <w:widowControl/>
              <w:jc w:val="left"/>
              <w:rPr>
                <w:rFonts w:ascii="宋体" w:hAnsi="宋体" w:cs="宋体"/>
                <w:color w:val="000000"/>
                <w:kern w:val="0"/>
                <w:sz w:val="21"/>
                <w:szCs w:val="21"/>
              </w:rPr>
            </w:pPr>
            <w:r>
              <w:rPr>
                <w:rFonts w:hint="eastAsia" w:ascii="宋体" w:hAnsi="宋体" w:cs="宋体"/>
                <w:color w:val="000000"/>
                <w:kern w:val="0"/>
                <w:sz w:val="21"/>
                <w:szCs w:val="21"/>
              </w:rPr>
              <w:t>调整外国（地区）在中国境内从事生产经营活动、外国（地区）企业常驻代表机构联络员备案业务，针对外国（地区）在中国境内从事生产经营活动、外国（地区）企业常驻代表机构联络员备案增加代理人信息核验，调用一体化平台代理人校验服务，实现代理人信息备案核验、代理人与联络员关联校验，并校验联络员和代理人必须为年满</w:t>
            </w:r>
            <w:r>
              <w:rPr>
                <w:rFonts w:ascii="Times New Roman" w:hAnsi="Times New Roman" w:cs="Times New Roman"/>
                <w:color w:val="000000"/>
                <w:kern w:val="0"/>
                <w:sz w:val="21"/>
                <w:szCs w:val="21"/>
              </w:rPr>
              <w:t>18</w:t>
            </w:r>
            <w:r>
              <w:rPr>
                <w:rFonts w:hint="eastAsia" w:ascii="宋体" w:hAnsi="宋体" w:cs="宋体"/>
                <w:color w:val="000000"/>
                <w:kern w:val="0"/>
                <w:sz w:val="21"/>
                <w:szCs w:val="21"/>
              </w:rPr>
              <w:t>周岁，具备完全民事行为能力的自然人。符合总局、一体化代理人校验中心的互联网业务办件才能发起申报，登记人员才可进行业务登记备案。保障登记备案业务符合《公司法》《中华人民共和国反洗钱法》《中华人民共和国反电信网络诈骗法》《中华人民共和国市场主体登记管理条例》《经营主体登记申请及代理行为管理办法》相关要求，依法依规办理业务登记。</w:t>
            </w:r>
          </w:p>
        </w:tc>
        <w:tc>
          <w:tcPr>
            <w:tcW w:w="1418" w:type="dxa"/>
            <w:vMerge w:val="continue"/>
            <w:tcBorders>
              <w:top w:val="nil"/>
              <w:left w:val="single" w:color="auto" w:sz="4" w:space="0"/>
              <w:bottom w:val="single" w:color="000000" w:sz="4" w:space="0"/>
              <w:right w:val="double" w:color="auto" w:sz="4" w:space="0"/>
            </w:tcBorders>
            <w:vAlign w:val="center"/>
          </w:tcPr>
          <w:p w14:paraId="71E9BA10">
            <w:pPr>
              <w:widowControl/>
              <w:jc w:val="left"/>
              <w:rPr>
                <w:rFonts w:ascii="宋体" w:hAnsi="宋体" w:cs="宋体"/>
                <w:kern w:val="0"/>
                <w:sz w:val="21"/>
                <w:szCs w:val="21"/>
              </w:rPr>
            </w:pPr>
          </w:p>
        </w:tc>
      </w:tr>
      <w:tr w14:paraId="5B04EE33">
        <w:tblPrEx>
          <w:tblCellMar>
            <w:top w:w="0" w:type="dxa"/>
            <w:left w:w="108" w:type="dxa"/>
            <w:bottom w:w="0" w:type="dxa"/>
            <w:right w:w="108" w:type="dxa"/>
          </w:tblCellMar>
        </w:tblPrEx>
        <w:trPr>
          <w:trHeight w:val="84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3F993B7E">
            <w:pPr>
              <w:widowControl/>
              <w:jc w:val="center"/>
              <w:rPr>
                <w:rFonts w:ascii="宋体" w:hAnsi="宋体" w:cs="宋体"/>
                <w:kern w:val="0"/>
                <w:sz w:val="21"/>
                <w:szCs w:val="21"/>
              </w:rPr>
            </w:pPr>
            <w:r>
              <w:rPr>
                <w:rFonts w:hint="eastAsia" w:ascii="宋体" w:hAnsi="宋体" w:cs="宋体"/>
                <w:kern w:val="0"/>
                <w:sz w:val="21"/>
                <w:szCs w:val="21"/>
              </w:rPr>
              <w:t>3</w:t>
            </w:r>
          </w:p>
        </w:tc>
        <w:tc>
          <w:tcPr>
            <w:tcW w:w="1984" w:type="dxa"/>
            <w:vMerge w:val="restart"/>
            <w:tcBorders>
              <w:top w:val="nil"/>
              <w:left w:val="single" w:color="auto" w:sz="4" w:space="0"/>
              <w:bottom w:val="single" w:color="000000" w:sz="4" w:space="0"/>
              <w:right w:val="single" w:color="auto" w:sz="4" w:space="0"/>
            </w:tcBorders>
            <w:shd w:val="clear" w:color="auto" w:fill="auto"/>
            <w:noWrap/>
            <w:vAlign w:val="center"/>
          </w:tcPr>
          <w:p w14:paraId="320EF0B1">
            <w:pPr>
              <w:widowControl/>
              <w:jc w:val="left"/>
              <w:rPr>
                <w:rFonts w:ascii="宋体" w:hAnsi="宋体" w:cs="宋体"/>
                <w:kern w:val="0"/>
                <w:sz w:val="21"/>
                <w:szCs w:val="21"/>
              </w:rPr>
            </w:pPr>
            <w:r>
              <w:rPr>
                <w:rFonts w:hint="eastAsia" w:ascii="宋体" w:hAnsi="宋体" w:cs="宋体"/>
                <w:kern w:val="0"/>
                <w:sz w:val="21"/>
                <w:szCs w:val="21"/>
              </w:rPr>
              <w:t>注册登记系统业务优化提升</w:t>
            </w:r>
          </w:p>
        </w:tc>
        <w:tc>
          <w:tcPr>
            <w:tcW w:w="3969" w:type="dxa"/>
            <w:tcBorders>
              <w:top w:val="single" w:color="auto" w:sz="4" w:space="0"/>
              <w:left w:val="nil"/>
              <w:bottom w:val="single" w:color="auto" w:sz="4" w:space="0"/>
              <w:right w:val="single" w:color="auto" w:sz="4" w:space="0"/>
            </w:tcBorders>
            <w:shd w:val="clear" w:color="auto" w:fill="auto"/>
            <w:vAlign w:val="center"/>
          </w:tcPr>
          <w:p w14:paraId="2EE6A2E5">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依据《经营主体登记申请及代理行为管理办法》相关要求，调整个体工商户涉及的设立登记、变更登记、注销登记等</w:t>
            </w:r>
            <w:r>
              <w:rPr>
                <w:rFonts w:ascii="Times New Roman" w:hAnsi="Times New Roman" w:cs="Times New Roman"/>
                <w:color w:val="000000"/>
                <w:kern w:val="0"/>
                <w:sz w:val="21"/>
                <w:szCs w:val="21"/>
              </w:rPr>
              <w:t>3</w:t>
            </w:r>
            <w:r>
              <w:rPr>
                <w:rFonts w:hint="eastAsia" w:ascii="宋体" w:hAnsi="宋体" w:cs="宋体"/>
                <w:color w:val="000000"/>
                <w:kern w:val="0"/>
                <w:sz w:val="21"/>
                <w:szCs w:val="21"/>
              </w:rPr>
              <w:t>个政务服务事项委托代理人、联络员申报业务，完善个体工商户互联网申报、内网登记和全流程网办业务，保障依法依规进行注册登记业务登记，健全经营主体登记备案业务。</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4BCD0D15">
            <w:pPr>
              <w:widowControl/>
              <w:jc w:val="center"/>
              <w:rPr>
                <w:rFonts w:ascii="宋体" w:hAnsi="宋体" w:cs="宋体"/>
                <w:kern w:val="0"/>
                <w:sz w:val="21"/>
                <w:szCs w:val="21"/>
              </w:rPr>
            </w:pPr>
          </w:p>
        </w:tc>
      </w:tr>
      <w:tr w14:paraId="2349BE78">
        <w:tblPrEx>
          <w:tblCellMar>
            <w:top w:w="0" w:type="dxa"/>
            <w:left w:w="108" w:type="dxa"/>
            <w:bottom w:w="0" w:type="dxa"/>
            <w:right w:w="108" w:type="dxa"/>
          </w:tblCellMar>
        </w:tblPrEx>
        <w:trPr>
          <w:trHeight w:val="1110" w:hRule="atLeast"/>
        </w:trPr>
        <w:tc>
          <w:tcPr>
            <w:tcW w:w="841" w:type="dxa"/>
            <w:vMerge w:val="continue"/>
            <w:tcBorders>
              <w:top w:val="nil"/>
              <w:left w:val="double" w:color="auto" w:sz="4" w:space="0"/>
              <w:bottom w:val="single" w:color="000000" w:sz="4" w:space="0"/>
              <w:right w:val="single" w:color="auto" w:sz="4" w:space="0"/>
            </w:tcBorders>
            <w:vAlign w:val="center"/>
          </w:tcPr>
          <w:p w14:paraId="5B3DBF20">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754B596D">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670F67E2">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依据《经营主体登记申请及代理行为管理办法》相关要求，调整农民专业合作社及其分支机构涉及的设立登记、变更登记、注销登记等</w:t>
            </w:r>
            <w:r>
              <w:rPr>
                <w:rFonts w:ascii="Times New Roman" w:hAnsi="Times New Roman" w:cs="Times New Roman"/>
                <w:color w:val="000000"/>
                <w:kern w:val="0"/>
                <w:sz w:val="21"/>
                <w:szCs w:val="21"/>
              </w:rPr>
              <w:t>6</w:t>
            </w:r>
            <w:r>
              <w:rPr>
                <w:rFonts w:hint="eastAsia" w:ascii="宋体" w:hAnsi="宋体" w:cs="宋体"/>
                <w:color w:val="000000"/>
                <w:kern w:val="0"/>
                <w:sz w:val="21"/>
                <w:szCs w:val="21"/>
              </w:rPr>
              <w:t>个政务服务事项委托代理人、联络员申报业务，完善农民专业合作社及其分支机构互联网申报、内网登记和全流程网办业务，保障依法依规进行注册登记业务登记，健全经营主体登记备案业务。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5E0AF02D">
            <w:pPr>
              <w:widowControl/>
              <w:jc w:val="left"/>
              <w:rPr>
                <w:rFonts w:ascii="宋体" w:hAnsi="宋体" w:cs="宋体"/>
                <w:kern w:val="0"/>
                <w:sz w:val="21"/>
                <w:szCs w:val="21"/>
              </w:rPr>
            </w:pPr>
          </w:p>
        </w:tc>
      </w:tr>
      <w:tr w14:paraId="3ADCB8C7">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3437393A">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5EAF2D14">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294D49A7">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依据《经营主体登记申请及代理行为管理办法》相关要求，调整企业涉及的设立登记、变更登记、注销登记等</w:t>
            </w:r>
            <w:r>
              <w:rPr>
                <w:rFonts w:ascii="Times New Roman" w:hAnsi="Times New Roman" w:cs="Times New Roman"/>
                <w:color w:val="000000"/>
                <w:kern w:val="0"/>
                <w:sz w:val="21"/>
                <w:szCs w:val="21"/>
              </w:rPr>
              <w:t>33</w:t>
            </w:r>
            <w:r>
              <w:rPr>
                <w:rFonts w:hint="eastAsia" w:ascii="宋体" w:hAnsi="宋体" w:cs="宋体"/>
                <w:color w:val="000000"/>
                <w:kern w:val="0"/>
                <w:sz w:val="21"/>
                <w:szCs w:val="21"/>
              </w:rPr>
              <w:t>个政务服务事项委托代理人、联络员申报业务，完善企业互联网申报、内网登记和全流程网办业务，保障依法依规进行注册登记业务登记，健全经营主体登记备案业务。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08651D4E">
            <w:pPr>
              <w:widowControl/>
              <w:jc w:val="left"/>
              <w:rPr>
                <w:rFonts w:ascii="宋体" w:hAnsi="宋体" w:cs="宋体"/>
                <w:kern w:val="0"/>
                <w:sz w:val="21"/>
                <w:szCs w:val="21"/>
              </w:rPr>
            </w:pPr>
          </w:p>
        </w:tc>
      </w:tr>
      <w:tr w14:paraId="3AC77698">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629DDBFD">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49DE11BD">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30FDCC24">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依据《经营主体登记申请及代理行为管理办法》相关要求，调整分公司、分支机构涉及的设立登记、变更登记、注销登记等</w:t>
            </w:r>
            <w:r>
              <w:rPr>
                <w:rFonts w:ascii="Times New Roman" w:hAnsi="Times New Roman" w:cs="Times New Roman"/>
                <w:color w:val="000000"/>
                <w:kern w:val="0"/>
                <w:sz w:val="21"/>
                <w:szCs w:val="21"/>
              </w:rPr>
              <w:t>13</w:t>
            </w:r>
            <w:r>
              <w:rPr>
                <w:rFonts w:hint="eastAsia" w:ascii="宋体" w:hAnsi="宋体" w:cs="宋体"/>
                <w:color w:val="000000"/>
                <w:kern w:val="0"/>
                <w:sz w:val="21"/>
                <w:szCs w:val="21"/>
              </w:rPr>
              <w:t>个政务服务事项委托代理人、联络员申报业务，完善分公司、分支机构互联网申报、内网登记和全流程网办业务，保障依法依规进行注册登记业务登记，健全经营主体登记备案业务。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50E119E6">
            <w:pPr>
              <w:widowControl/>
              <w:jc w:val="left"/>
              <w:rPr>
                <w:rFonts w:ascii="宋体" w:hAnsi="宋体" w:cs="宋体"/>
                <w:kern w:val="0"/>
                <w:sz w:val="21"/>
                <w:szCs w:val="21"/>
              </w:rPr>
            </w:pPr>
          </w:p>
        </w:tc>
      </w:tr>
      <w:tr w14:paraId="39EE944B">
        <w:tblPrEx>
          <w:tblCellMar>
            <w:top w:w="0" w:type="dxa"/>
            <w:left w:w="108" w:type="dxa"/>
            <w:bottom w:w="0" w:type="dxa"/>
            <w:right w:w="108" w:type="dxa"/>
          </w:tblCellMar>
        </w:tblPrEx>
        <w:trPr>
          <w:trHeight w:val="1110" w:hRule="atLeast"/>
        </w:trPr>
        <w:tc>
          <w:tcPr>
            <w:tcW w:w="841" w:type="dxa"/>
            <w:vMerge w:val="continue"/>
            <w:tcBorders>
              <w:top w:val="nil"/>
              <w:left w:val="double" w:color="auto" w:sz="4" w:space="0"/>
              <w:bottom w:val="single" w:color="000000" w:sz="4" w:space="0"/>
              <w:right w:val="single" w:color="auto" w:sz="4" w:space="0"/>
            </w:tcBorders>
            <w:vAlign w:val="center"/>
          </w:tcPr>
          <w:p w14:paraId="176D27EC">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24514BFE">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5983F938">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依据《经营主体登记申请及代理行为管理办法》相关要求，调整外国（地区）企业在中国境内从事生产经营活动涉及的设立登记、变更登记、注销登记等</w:t>
            </w:r>
            <w:r>
              <w:rPr>
                <w:rFonts w:ascii="Times New Roman" w:hAnsi="Times New Roman" w:cs="Times New Roman"/>
                <w:color w:val="000000"/>
                <w:kern w:val="0"/>
                <w:sz w:val="21"/>
                <w:szCs w:val="21"/>
              </w:rPr>
              <w:t>3</w:t>
            </w:r>
            <w:r>
              <w:rPr>
                <w:rFonts w:hint="eastAsia" w:ascii="宋体" w:hAnsi="宋体" w:cs="宋体"/>
                <w:color w:val="000000"/>
                <w:kern w:val="0"/>
                <w:sz w:val="21"/>
                <w:szCs w:val="21"/>
              </w:rPr>
              <w:t>个政务服务事项委托代理人、联络员申报业务，完善外国（地区）企业在中国境内从事生产经营活动互联网申报、内网登记和全流程网办业务，保障依法依规进行注册登记业务登记，健全经营主体登记备案业务。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482859AF">
            <w:pPr>
              <w:widowControl/>
              <w:jc w:val="left"/>
              <w:rPr>
                <w:rFonts w:ascii="宋体" w:hAnsi="宋体" w:cs="宋体"/>
                <w:kern w:val="0"/>
                <w:sz w:val="21"/>
                <w:szCs w:val="21"/>
              </w:rPr>
            </w:pPr>
          </w:p>
        </w:tc>
      </w:tr>
      <w:tr w14:paraId="6A8CFF36">
        <w:tblPrEx>
          <w:tblCellMar>
            <w:top w:w="0" w:type="dxa"/>
            <w:left w:w="108" w:type="dxa"/>
            <w:bottom w:w="0" w:type="dxa"/>
            <w:right w:w="108" w:type="dxa"/>
          </w:tblCellMar>
        </w:tblPrEx>
        <w:trPr>
          <w:trHeight w:val="1110" w:hRule="atLeast"/>
        </w:trPr>
        <w:tc>
          <w:tcPr>
            <w:tcW w:w="841" w:type="dxa"/>
            <w:vMerge w:val="continue"/>
            <w:tcBorders>
              <w:top w:val="nil"/>
              <w:left w:val="double" w:color="auto" w:sz="4" w:space="0"/>
              <w:bottom w:val="single" w:color="000000" w:sz="4" w:space="0"/>
              <w:right w:val="single" w:color="auto" w:sz="4" w:space="0"/>
            </w:tcBorders>
            <w:vAlign w:val="center"/>
          </w:tcPr>
          <w:p w14:paraId="66A18FFC">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5D17F3D">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7C8ABDE">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依据《经营主体登记申请及代理行为管理办法》相关要求，调整外国（地区）企业常驻代表机构涉及的设立登记、变更登记、注销登记等</w:t>
            </w:r>
            <w:r>
              <w:rPr>
                <w:rFonts w:ascii="Times New Roman" w:hAnsi="Times New Roman" w:cs="Times New Roman"/>
                <w:color w:val="000000"/>
                <w:kern w:val="0"/>
                <w:sz w:val="21"/>
                <w:szCs w:val="21"/>
              </w:rPr>
              <w:t>3</w:t>
            </w:r>
            <w:r>
              <w:rPr>
                <w:rFonts w:hint="eastAsia" w:ascii="宋体" w:hAnsi="宋体" w:cs="宋体"/>
                <w:color w:val="000000"/>
                <w:kern w:val="0"/>
                <w:sz w:val="21"/>
                <w:szCs w:val="21"/>
              </w:rPr>
              <w:t>个政务服务事项委托代理人、联络员申报业务，完善外国（地区）企业常驻代表机构互联网申报、内网登记和全流程网办业务，保障依法依规进行注册登记业务登记，健全经营主体登记备案业务。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0916D2C7">
            <w:pPr>
              <w:widowControl/>
              <w:jc w:val="left"/>
              <w:rPr>
                <w:rFonts w:ascii="宋体" w:hAnsi="宋体" w:cs="宋体"/>
                <w:kern w:val="0"/>
                <w:sz w:val="21"/>
                <w:szCs w:val="21"/>
              </w:rPr>
            </w:pPr>
          </w:p>
        </w:tc>
      </w:tr>
      <w:tr w14:paraId="5B8E73C2">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661AEA7D">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3013F358">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3AC6E2E2">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经营主体迁移调档、增加或减少证照、遗失补领或换发证照等5个政务服务事项委托代理人、联络员申报业务，完善经营主体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430D99AF">
            <w:pPr>
              <w:widowControl/>
              <w:jc w:val="left"/>
              <w:rPr>
                <w:rFonts w:ascii="宋体" w:hAnsi="宋体" w:cs="宋体"/>
                <w:kern w:val="0"/>
                <w:sz w:val="21"/>
                <w:szCs w:val="21"/>
              </w:rPr>
            </w:pPr>
          </w:p>
        </w:tc>
      </w:tr>
      <w:tr w14:paraId="290EDBDB">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15C7B961">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1FC37EA8">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78EFF41">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经营主体歇业备案政务服务事项委托代理人、联络员申报业务，完善经营主体歇业备案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5AD17F5D">
            <w:pPr>
              <w:widowControl/>
              <w:jc w:val="left"/>
              <w:rPr>
                <w:rFonts w:ascii="宋体" w:hAnsi="宋体" w:cs="宋体"/>
                <w:kern w:val="0"/>
                <w:sz w:val="21"/>
                <w:szCs w:val="21"/>
              </w:rPr>
            </w:pPr>
          </w:p>
        </w:tc>
      </w:tr>
      <w:tr w14:paraId="25858D01">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54A5DAE3">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0E3A70EB">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35D71155">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企业开办“一网通办”涉及的20个政务服务事项委托代理人、联络员申报业务，完善企业开办“一网通办”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19002D7E">
            <w:pPr>
              <w:widowControl/>
              <w:jc w:val="left"/>
              <w:rPr>
                <w:rFonts w:ascii="宋体" w:hAnsi="宋体" w:cs="宋体"/>
                <w:kern w:val="0"/>
                <w:sz w:val="21"/>
                <w:szCs w:val="21"/>
              </w:rPr>
            </w:pPr>
          </w:p>
        </w:tc>
      </w:tr>
      <w:tr w14:paraId="0FA7C2D0">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0B8D1BFD">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7A8DD20B">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304A2A14">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餐饮一件事系统涉及的20个政务服务事项委托代理人、联络员申报业务，完善餐饮一件事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7655AF5B">
            <w:pPr>
              <w:widowControl/>
              <w:jc w:val="left"/>
              <w:rPr>
                <w:rFonts w:ascii="宋体" w:hAnsi="宋体" w:cs="宋体"/>
                <w:kern w:val="0"/>
                <w:sz w:val="21"/>
                <w:szCs w:val="21"/>
              </w:rPr>
            </w:pPr>
          </w:p>
        </w:tc>
      </w:tr>
      <w:tr w14:paraId="5DB19AFE">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6F779728">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17FCC48A">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3A4F9E89">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个体工商户智能化设立登记事项委托代理人、联络员申报业务，完善个体工商户智能化设立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6F963277">
            <w:pPr>
              <w:widowControl/>
              <w:jc w:val="left"/>
              <w:rPr>
                <w:rFonts w:ascii="宋体" w:hAnsi="宋体" w:cs="宋体"/>
                <w:kern w:val="0"/>
                <w:sz w:val="21"/>
                <w:szCs w:val="21"/>
              </w:rPr>
            </w:pPr>
          </w:p>
        </w:tc>
      </w:tr>
      <w:tr w14:paraId="393605F3">
        <w:tblPrEx>
          <w:tblCellMar>
            <w:top w:w="0" w:type="dxa"/>
            <w:left w:w="108" w:type="dxa"/>
            <w:bottom w:w="0" w:type="dxa"/>
            <w:right w:w="108" w:type="dxa"/>
          </w:tblCellMar>
        </w:tblPrEx>
        <w:trPr>
          <w:trHeight w:val="840" w:hRule="atLeast"/>
        </w:trPr>
        <w:tc>
          <w:tcPr>
            <w:tcW w:w="841" w:type="dxa"/>
            <w:vMerge w:val="continue"/>
            <w:tcBorders>
              <w:top w:val="nil"/>
              <w:left w:val="double" w:color="auto" w:sz="4" w:space="0"/>
              <w:bottom w:val="single" w:color="000000" w:sz="4" w:space="0"/>
              <w:right w:val="single" w:color="auto" w:sz="4" w:space="0"/>
            </w:tcBorders>
            <w:vAlign w:val="center"/>
          </w:tcPr>
          <w:p w14:paraId="720A92A8">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1150DF7C">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339BA6F">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闽政通移动端涉及的30个政务服务事项委托代理人、联络员申报业务，完善闽政通移动端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2E990507">
            <w:pPr>
              <w:widowControl/>
              <w:jc w:val="left"/>
              <w:rPr>
                <w:rFonts w:ascii="宋体" w:hAnsi="宋体" w:cs="宋体"/>
                <w:kern w:val="0"/>
                <w:sz w:val="21"/>
                <w:szCs w:val="21"/>
              </w:rPr>
            </w:pPr>
          </w:p>
        </w:tc>
      </w:tr>
      <w:tr w14:paraId="19B09217">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single" w:color="000000" w:sz="4" w:space="0"/>
              <w:right w:val="single" w:color="auto" w:sz="4" w:space="0"/>
            </w:tcBorders>
            <w:vAlign w:val="center"/>
          </w:tcPr>
          <w:p w14:paraId="6EA559E2">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579E11B7">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F0CE3B0">
            <w:pPr>
              <w:widowControl/>
              <w:jc w:val="left"/>
              <w:rPr>
                <w:rFonts w:ascii="宋体" w:hAnsi="宋体" w:cs="宋体"/>
                <w:kern w:val="0"/>
                <w:sz w:val="21"/>
                <w:szCs w:val="21"/>
              </w:rPr>
            </w:pPr>
            <w:r>
              <w:rPr>
                <w:rFonts w:hint="eastAsia" w:ascii="宋体" w:hAnsi="宋体" w:cs="宋体"/>
                <w:kern w:val="0"/>
                <w:sz w:val="21"/>
                <w:szCs w:val="21"/>
              </w:rPr>
              <w:t>依据《经营主体登记申请及代理行为管理办法》相关要求，调整企业开办“一网通办”闽政通移动端涉及的20个政务服务事项委托代理人、联络员申报业务，完善企业开办“一网通办”闽政通移动端互联网申报、内网登记和全流程网办业务，保障依法依规进行注册登记业务登记，健全经营主体登记备案业务。</w:t>
            </w:r>
          </w:p>
        </w:tc>
        <w:tc>
          <w:tcPr>
            <w:tcW w:w="1418" w:type="dxa"/>
            <w:vMerge w:val="continue"/>
            <w:tcBorders>
              <w:top w:val="nil"/>
              <w:left w:val="single" w:color="auto" w:sz="4" w:space="0"/>
              <w:bottom w:val="single" w:color="000000" w:sz="4" w:space="0"/>
              <w:right w:val="double" w:color="auto" w:sz="4" w:space="0"/>
            </w:tcBorders>
            <w:vAlign w:val="center"/>
          </w:tcPr>
          <w:p w14:paraId="564D0BFD">
            <w:pPr>
              <w:widowControl/>
              <w:jc w:val="left"/>
              <w:rPr>
                <w:rFonts w:ascii="宋体" w:hAnsi="宋体" w:cs="宋体"/>
                <w:kern w:val="0"/>
                <w:sz w:val="21"/>
                <w:szCs w:val="21"/>
              </w:rPr>
            </w:pPr>
          </w:p>
        </w:tc>
      </w:tr>
      <w:tr w14:paraId="06B93B0F">
        <w:tblPrEx>
          <w:tblCellMar>
            <w:top w:w="0" w:type="dxa"/>
            <w:left w:w="108" w:type="dxa"/>
            <w:bottom w:w="0" w:type="dxa"/>
            <w:right w:w="108" w:type="dxa"/>
          </w:tblCellMar>
        </w:tblPrEx>
        <w:trPr>
          <w:trHeight w:val="560" w:hRule="atLeast"/>
        </w:trPr>
        <w:tc>
          <w:tcPr>
            <w:tcW w:w="841" w:type="dxa"/>
            <w:vMerge w:val="restart"/>
            <w:tcBorders>
              <w:top w:val="nil"/>
              <w:left w:val="double" w:color="auto" w:sz="4" w:space="0"/>
              <w:bottom w:val="single" w:color="000000" w:sz="4" w:space="0"/>
              <w:right w:val="single" w:color="auto" w:sz="4" w:space="0"/>
            </w:tcBorders>
            <w:shd w:val="clear" w:color="auto" w:fill="auto"/>
            <w:noWrap/>
            <w:vAlign w:val="center"/>
          </w:tcPr>
          <w:p w14:paraId="4F18095A">
            <w:pPr>
              <w:widowControl/>
              <w:jc w:val="center"/>
              <w:rPr>
                <w:rFonts w:ascii="宋体" w:hAnsi="宋体" w:cs="宋体"/>
                <w:kern w:val="0"/>
                <w:sz w:val="21"/>
                <w:szCs w:val="21"/>
              </w:rPr>
            </w:pPr>
            <w:r>
              <w:rPr>
                <w:rFonts w:hint="eastAsia" w:ascii="宋体" w:hAnsi="宋体" w:cs="宋体"/>
                <w:kern w:val="0"/>
                <w:sz w:val="21"/>
                <w:szCs w:val="21"/>
              </w:rPr>
              <w:t>4</w:t>
            </w:r>
          </w:p>
        </w:tc>
        <w:tc>
          <w:tcPr>
            <w:tcW w:w="1984" w:type="dxa"/>
            <w:vMerge w:val="restart"/>
            <w:tcBorders>
              <w:top w:val="nil"/>
              <w:left w:val="single" w:color="auto" w:sz="4" w:space="0"/>
              <w:bottom w:val="single" w:color="000000" w:sz="4" w:space="0"/>
              <w:right w:val="single" w:color="auto" w:sz="4" w:space="0"/>
            </w:tcBorders>
            <w:shd w:val="clear" w:color="auto" w:fill="auto"/>
            <w:vAlign w:val="center"/>
          </w:tcPr>
          <w:p w14:paraId="2CE83C20">
            <w:pPr>
              <w:widowControl/>
              <w:jc w:val="left"/>
              <w:rPr>
                <w:rFonts w:ascii="宋体" w:hAnsi="宋体" w:cs="宋体"/>
                <w:kern w:val="0"/>
                <w:sz w:val="21"/>
                <w:szCs w:val="21"/>
              </w:rPr>
            </w:pPr>
            <w:r>
              <w:rPr>
                <w:rFonts w:hint="eastAsia" w:ascii="宋体" w:hAnsi="宋体" w:cs="宋体"/>
                <w:kern w:val="0"/>
                <w:sz w:val="21"/>
                <w:szCs w:val="21"/>
              </w:rPr>
              <w:t>注册登记系统校验接口优化提升</w:t>
            </w:r>
          </w:p>
        </w:tc>
        <w:tc>
          <w:tcPr>
            <w:tcW w:w="3969" w:type="dxa"/>
            <w:tcBorders>
              <w:top w:val="nil"/>
              <w:left w:val="nil"/>
              <w:bottom w:val="single" w:color="auto" w:sz="4" w:space="0"/>
              <w:right w:val="single" w:color="auto" w:sz="4" w:space="0"/>
            </w:tcBorders>
            <w:shd w:val="clear" w:color="auto" w:fill="auto"/>
            <w:vAlign w:val="center"/>
          </w:tcPr>
          <w:p w14:paraId="4ADEABE2">
            <w:pPr>
              <w:widowControl/>
              <w:jc w:val="left"/>
              <w:rPr>
                <w:rFonts w:ascii="宋体" w:hAnsi="宋体" w:cs="宋体"/>
                <w:kern w:val="0"/>
                <w:sz w:val="21"/>
                <w:szCs w:val="21"/>
              </w:rPr>
            </w:pPr>
            <w:r>
              <w:rPr>
                <w:rFonts w:hint="eastAsia" w:ascii="宋体" w:hAnsi="宋体" w:cs="宋体"/>
                <w:kern w:val="0"/>
                <w:sz w:val="21"/>
                <w:szCs w:val="21"/>
              </w:rPr>
              <w:t>针对经营主体设立登记业务，封装全国代理人核验服务，基于福建省政务服务总线平台向其他政务服务事项平台提供代理人信息核验服务，并增加数据传输加密服务、数据完整性校验服务。</w:t>
            </w:r>
          </w:p>
        </w:tc>
        <w:tc>
          <w:tcPr>
            <w:tcW w:w="1418" w:type="dxa"/>
            <w:vMerge w:val="restart"/>
            <w:tcBorders>
              <w:top w:val="nil"/>
              <w:left w:val="single" w:color="auto" w:sz="4" w:space="0"/>
              <w:bottom w:val="single" w:color="000000" w:sz="4" w:space="0"/>
              <w:right w:val="double" w:color="auto" w:sz="4" w:space="0"/>
            </w:tcBorders>
            <w:shd w:val="clear" w:color="auto" w:fill="auto"/>
            <w:noWrap/>
            <w:vAlign w:val="center"/>
          </w:tcPr>
          <w:p w14:paraId="4227631A">
            <w:pPr>
              <w:widowControl/>
              <w:jc w:val="center"/>
              <w:rPr>
                <w:rFonts w:ascii="宋体" w:hAnsi="宋体" w:cs="宋体"/>
                <w:kern w:val="0"/>
                <w:sz w:val="21"/>
                <w:szCs w:val="21"/>
              </w:rPr>
            </w:pPr>
          </w:p>
        </w:tc>
      </w:tr>
      <w:tr w14:paraId="58F5C3D9">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478FA8AA">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4F6165F7">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3728309D">
            <w:pPr>
              <w:widowControl/>
              <w:jc w:val="left"/>
              <w:rPr>
                <w:rFonts w:ascii="宋体" w:hAnsi="宋体" w:cs="宋体"/>
                <w:kern w:val="0"/>
                <w:sz w:val="21"/>
                <w:szCs w:val="21"/>
              </w:rPr>
            </w:pPr>
            <w:r>
              <w:rPr>
                <w:rFonts w:hint="eastAsia" w:ascii="宋体" w:hAnsi="宋体" w:cs="宋体"/>
                <w:kern w:val="0"/>
                <w:sz w:val="21"/>
                <w:szCs w:val="21"/>
              </w:rPr>
              <w:t>针对经营主体变更登记业务，封装全国代理人核验服务，基于福建省政务服务总线平台向其他政务服务事项平台提供代理人信息核验服务，并增加数据传输加密服务、数据完整性校验服务。</w:t>
            </w:r>
          </w:p>
        </w:tc>
        <w:tc>
          <w:tcPr>
            <w:tcW w:w="1418" w:type="dxa"/>
            <w:vMerge w:val="continue"/>
            <w:tcBorders>
              <w:top w:val="nil"/>
              <w:left w:val="single" w:color="auto" w:sz="4" w:space="0"/>
              <w:bottom w:val="single" w:color="000000" w:sz="4" w:space="0"/>
              <w:right w:val="double" w:color="auto" w:sz="4" w:space="0"/>
            </w:tcBorders>
            <w:vAlign w:val="center"/>
          </w:tcPr>
          <w:p w14:paraId="56943D0F">
            <w:pPr>
              <w:widowControl/>
              <w:jc w:val="left"/>
              <w:rPr>
                <w:rFonts w:ascii="宋体" w:hAnsi="宋体" w:cs="宋体"/>
                <w:kern w:val="0"/>
                <w:sz w:val="21"/>
                <w:szCs w:val="21"/>
              </w:rPr>
            </w:pPr>
          </w:p>
        </w:tc>
      </w:tr>
      <w:tr w14:paraId="77871AFA">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194FD623">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5C8849AA">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5E6B065C">
            <w:pPr>
              <w:widowControl/>
              <w:jc w:val="left"/>
              <w:rPr>
                <w:rFonts w:ascii="宋体" w:hAnsi="宋体" w:cs="宋体"/>
                <w:kern w:val="0"/>
                <w:sz w:val="21"/>
                <w:szCs w:val="21"/>
              </w:rPr>
            </w:pPr>
            <w:r>
              <w:rPr>
                <w:rFonts w:hint="eastAsia" w:ascii="宋体" w:hAnsi="宋体" w:cs="宋体"/>
                <w:kern w:val="0"/>
                <w:sz w:val="21"/>
                <w:szCs w:val="21"/>
              </w:rPr>
              <w:t>针对经营主体备案业务，封装全国代理人核验服务，基于福建省政务服务总线平台向其他政务服务事项平台提供代理人信息核验服务，并增加数据传输加密服务、数据完整性校验服务。</w:t>
            </w:r>
          </w:p>
        </w:tc>
        <w:tc>
          <w:tcPr>
            <w:tcW w:w="1418" w:type="dxa"/>
            <w:vMerge w:val="continue"/>
            <w:tcBorders>
              <w:top w:val="nil"/>
              <w:left w:val="single" w:color="auto" w:sz="4" w:space="0"/>
              <w:bottom w:val="single" w:color="000000" w:sz="4" w:space="0"/>
              <w:right w:val="double" w:color="auto" w:sz="4" w:space="0"/>
            </w:tcBorders>
            <w:vAlign w:val="center"/>
          </w:tcPr>
          <w:p w14:paraId="2CF079D4">
            <w:pPr>
              <w:widowControl/>
              <w:jc w:val="left"/>
              <w:rPr>
                <w:rFonts w:ascii="宋体" w:hAnsi="宋体" w:cs="宋体"/>
                <w:kern w:val="0"/>
                <w:sz w:val="21"/>
                <w:szCs w:val="21"/>
              </w:rPr>
            </w:pPr>
          </w:p>
        </w:tc>
      </w:tr>
      <w:tr w14:paraId="3DBD540E">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5DB42CFC">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60410B26">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1C1B9639">
            <w:pPr>
              <w:widowControl/>
              <w:jc w:val="left"/>
              <w:rPr>
                <w:rFonts w:ascii="宋体" w:hAnsi="宋体" w:cs="宋体"/>
                <w:kern w:val="0"/>
                <w:sz w:val="21"/>
                <w:szCs w:val="21"/>
              </w:rPr>
            </w:pPr>
            <w:r>
              <w:rPr>
                <w:rFonts w:hint="eastAsia" w:ascii="宋体" w:hAnsi="宋体" w:cs="宋体"/>
                <w:kern w:val="0"/>
                <w:sz w:val="21"/>
                <w:szCs w:val="21"/>
              </w:rPr>
              <w:t>针对经营主体注销登记业务，封装全国代理人核验服务，基于福建省政务服务总线平台向其他政务服务事项平台提供代理人信息核验服务，并增加数据传输加密服务、数据完整性校验服务。</w:t>
            </w:r>
          </w:p>
        </w:tc>
        <w:tc>
          <w:tcPr>
            <w:tcW w:w="1418" w:type="dxa"/>
            <w:vMerge w:val="continue"/>
            <w:tcBorders>
              <w:top w:val="nil"/>
              <w:left w:val="single" w:color="auto" w:sz="4" w:space="0"/>
              <w:bottom w:val="single" w:color="000000" w:sz="4" w:space="0"/>
              <w:right w:val="double" w:color="auto" w:sz="4" w:space="0"/>
            </w:tcBorders>
            <w:vAlign w:val="center"/>
          </w:tcPr>
          <w:p w14:paraId="4EB1A609">
            <w:pPr>
              <w:widowControl/>
              <w:jc w:val="left"/>
              <w:rPr>
                <w:rFonts w:ascii="宋体" w:hAnsi="宋体" w:cs="宋体"/>
                <w:kern w:val="0"/>
                <w:sz w:val="21"/>
                <w:szCs w:val="21"/>
              </w:rPr>
            </w:pPr>
          </w:p>
        </w:tc>
      </w:tr>
      <w:tr w14:paraId="67A68B8F">
        <w:tblPrEx>
          <w:tblCellMar>
            <w:top w:w="0" w:type="dxa"/>
            <w:left w:w="108" w:type="dxa"/>
            <w:bottom w:w="0" w:type="dxa"/>
            <w:right w:w="108" w:type="dxa"/>
          </w:tblCellMar>
        </w:tblPrEx>
        <w:trPr>
          <w:trHeight w:val="560" w:hRule="atLeast"/>
        </w:trPr>
        <w:tc>
          <w:tcPr>
            <w:tcW w:w="841" w:type="dxa"/>
            <w:vMerge w:val="continue"/>
            <w:tcBorders>
              <w:top w:val="nil"/>
              <w:left w:val="double" w:color="auto" w:sz="4" w:space="0"/>
              <w:bottom w:val="single" w:color="000000" w:sz="4" w:space="0"/>
              <w:right w:val="single" w:color="auto" w:sz="4" w:space="0"/>
            </w:tcBorders>
            <w:vAlign w:val="center"/>
          </w:tcPr>
          <w:p w14:paraId="6EF28CBF">
            <w:pPr>
              <w:widowControl/>
              <w:jc w:val="left"/>
              <w:rPr>
                <w:rFonts w:ascii="宋体" w:hAnsi="宋体" w:cs="宋体"/>
                <w:kern w:val="0"/>
                <w:sz w:val="21"/>
                <w:szCs w:val="21"/>
              </w:rPr>
            </w:pPr>
          </w:p>
        </w:tc>
        <w:tc>
          <w:tcPr>
            <w:tcW w:w="1984" w:type="dxa"/>
            <w:vMerge w:val="continue"/>
            <w:tcBorders>
              <w:top w:val="nil"/>
              <w:left w:val="single" w:color="auto" w:sz="4" w:space="0"/>
              <w:bottom w:val="single" w:color="000000" w:sz="4" w:space="0"/>
              <w:right w:val="single" w:color="auto" w:sz="4" w:space="0"/>
            </w:tcBorders>
            <w:vAlign w:val="center"/>
          </w:tcPr>
          <w:p w14:paraId="41800DB4">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EC6E531">
            <w:pPr>
              <w:widowControl/>
              <w:jc w:val="left"/>
              <w:rPr>
                <w:rFonts w:ascii="宋体" w:hAnsi="宋体" w:cs="宋体"/>
                <w:kern w:val="0"/>
                <w:sz w:val="21"/>
                <w:szCs w:val="21"/>
              </w:rPr>
            </w:pPr>
            <w:r>
              <w:rPr>
                <w:rFonts w:hint="eastAsia" w:ascii="宋体" w:hAnsi="宋体" w:cs="宋体"/>
                <w:kern w:val="0"/>
                <w:sz w:val="21"/>
                <w:szCs w:val="21"/>
              </w:rPr>
              <w:t>针对经营主体迁移登记业务，封装全国代理人核验服务，基于福建省政务服务总线平台向其他政务服务事项平台提供代理人信息核验服务，并增加数据传输加密服务、数据完整性校验服务。</w:t>
            </w:r>
          </w:p>
        </w:tc>
        <w:tc>
          <w:tcPr>
            <w:tcW w:w="1418" w:type="dxa"/>
            <w:vMerge w:val="continue"/>
            <w:tcBorders>
              <w:top w:val="nil"/>
              <w:left w:val="single" w:color="auto" w:sz="4" w:space="0"/>
              <w:bottom w:val="single" w:color="000000" w:sz="4" w:space="0"/>
              <w:right w:val="double" w:color="auto" w:sz="4" w:space="0"/>
            </w:tcBorders>
            <w:vAlign w:val="center"/>
          </w:tcPr>
          <w:p w14:paraId="7820F7ED">
            <w:pPr>
              <w:widowControl/>
              <w:jc w:val="left"/>
              <w:rPr>
                <w:rFonts w:ascii="宋体" w:hAnsi="宋体" w:cs="宋体"/>
                <w:kern w:val="0"/>
                <w:sz w:val="21"/>
                <w:szCs w:val="21"/>
              </w:rPr>
            </w:pPr>
          </w:p>
        </w:tc>
      </w:tr>
      <w:tr w14:paraId="612E5403">
        <w:tblPrEx>
          <w:tblCellMar>
            <w:top w:w="0" w:type="dxa"/>
            <w:left w:w="108" w:type="dxa"/>
            <w:bottom w:w="0" w:type="dxa"/>
            <w:right w:w="108" w:type="dxa"/>
          </w:tblCellMar>
        </w:tblPrEx>
        <w:trPr>
          <w:trHeight w:val="280" w:hRule="atLeast"/>
        </w:trPr>
        <w:tc>
          <w:tcPr>
            <w:tcW w:w="6794" w:type="dxa"/>
            <w:gridSpan w:val="3"/>
            <w:tcBorders>
              <w:top w:val="single" w:color="auto" w:sz="4" w:space="0"/>
              <w:left w:val="double" w:color="auto" w:sz="4" w:space="0"/>
              <w:bottom w:val="double" w:color="auto" w:sz="4" w:space="0"/>
              <w:right w:val="single" w:color="auto" w:sz="4" w:space="0"/>
            </w:tcBorders>
            <w:shd w:val="clear" w:color="000000" w:fill="D9D9D9"/>
            <w:noWrap/>
            <w:vAlign w:val="center"/>
          </w:tcPr>
          <w:p w14:paraId="47FD3FF8">
            <w:pPr>
              <w:widowControl/>
              <w:jc w:val="center"/>
              <w:rPr>
                <w:rFonts w:ascii="宋体" w:hAnsi="宋体" w:cs="宋体"/>
                <w:b/>
                <w:bCs/>
                <w:kern w:val="0"/>
                <w:sz w:val="21"/>
                <w:szCs w:val="21"/>
              </w:rPr>
            </w:pPr>
            <w:r>
              <w:rPr>
                <w:rFonts w:hint="eastAsia" w:ascii="宋体" w:hAnsi="宋体" w:cs="宋体"/>
                <w:b/>
                <w:bCs/>
                <w:kern w:val="0"/>
                <w:sz w:val="21"/>
                <w:szCs w:val="21"/>
              </w:rPr>
              <w:t>合计</w:t>
            </w:r>
          </w:p>
        </w:tc>
        <w:tc>
          <w:tcPr>
            <w:tcW w:w="1418" w:type="dxa"/>
            <w:tcBorders>
              <w:top w:val="nil"/>
              <w:left w:val="nil"/>
              <w:bottom w:val="double" w:color="auto" w:sz="4" w:space="0"/>
              <w:right w:val="double" w:color="auto" w:sz="4" w:space="0"/>
            </w:tcBorders>
            <w:shd w:val="clear" w:color="auto" w:fill="auto"/>
            <w:noWrap/>
            <w:vAlign w:val="center"/>
          </w:tcPr>
          <w:p w14:paraId="6BB7D3AF">
            <w:pPr>
              <w:widowControl/>
              <w:jc w:val="center"/>
              <w:rPr>
                <w:rFonts w:ascii="宋体" w:hAnsi="宋体" w:cs="宋体"/>
                <w:b/>
                <w:bCs/>
                <w:kern w:val="0"/>
                <w:sz w:val="21"/>
                <w:szCs w:val="21"/>
              </w:rPr>
            </w:pPr>
          </w:p>
        </w:tc>
      </w:tr>
    </w:tbl>
    <w:p w14:paraId="6817EC5E">
      <w:pPr>
        <w:pStyle w:val="3"/>
        <w:numPr>
          <w:ilvl w:val="1"/>
          <w:numId w:val="2"/>
        </w:numPr>
        <w:ind w:left="0" w:firstLine="0"/>
      </w:pPr>
      <w:r>
        <w:rPr>
          <w:rFonts w:hint="eastAsia"/>
        </w:rPr>
        <w:t>市场主体退出相关改革服务预算表</w:t>
      </w:r>
    </w:p>
    <w:tbl>
      <w:tblPr>
        <w:tblStyle w:val="8"/>
        <w:tblW w:w="8212" w:type="dxa"/>
        <w:tblInd w:w="-5" w:type="dxa"/>
        <w:tblLayout w:type="autofit"/>
        <w:tblCellMar>
          <w:top w:w="0" w:type="dxa"/>
          <w:left w:w="108" w:type="dxa"/>
          <w:bottom w:w="0" w:type="dxa"/>
          <w:right w:w="108" w:type="dxa"/>
        </w:tblCellMar>
      </w:tblPr>
      <w:tblGrid>
        <w:gridCol w:w="841"/>
        <w:gridCol w:w="1984"/>
        <w:gridCol w:w="3969"/>
        <w:gridCol w:w="1418"/>
      </w:tblGrid>
      <w:tr w14:paraId="7E6882D7">
        <w:tblPrEx>
          <w:tblCellMar>
            <w:top w:w="0" w:type="dxa"/>
            <w:left w:w="108" w:type="dxa"/>
            <w:bottom w:w="0" w:type="dxa"/>
            <w:right w:w="108" w:type="dxa"/>
          </w:tblCellMar>
        </w:tblPrEx>
        <w:trPr>
          <w:trHeight w:val="560" w:hRule="atLeast"/>
          <w:tblHeader/>
        </w:trPr>
        <w:tc>
          <w:tcPr>
            <w:tcW w:w="841" w:type="dxa"/>
            <w:tcBorders>
              <w:top w:val="double" w:color="auto" w:sz="4" w:space="0"/>
              <w:left w:val="double" w:color="auto" w:sz="4" w:space="0"/>
              <w:bottom w:val="single" w:color="auto" w:sz="4" w:space="0"/>
              <w:right w:val="single" w:color="auto" w:sz="4" w:space="0"/>
            </w:tcBorders>
            <w:shd w:val="clear" w:color="000000" w:fill="D9D9D9"/>
            <w:noWrap/>
            <w:vAlign w:val="center"/>
          </w:tcPr>
          <w:p w14:paraId="0445C5B6">
            <w:pPr>
              <w:widowControl/>
              <w:jc w:val="center"/>
              <w:rPr>
                <w:rFonts w:ascii="宋体" w:hAnsi="宋体" w:cs="宋体"/>
                <w:b/>
                <w:bCs/>
                <w:kern w:val="0"/>
                <w:sz w:val="21"/>
                <w:szCs w:val="21"/>
              </w:rPr>
            </w:pPr>
            <w:r>
              <w:rPr>
                <w:rFonts w:hint="eastAsia" w:ascii="宋体" w:hAnsi="宋体" w:cs="宋体"/>
                <w:b/>
                <w:bCs/>
                <w:kern w:val="0"/>
                <w:sz w:val="21"/>
                <w:szCs w:val="21"/>
              </w:rPr>
              <w:t>编号</w:t>
            </w:r>
          </w:p>
        </w:tc>
        <w:tc>
          <w:tcPr>
            <w:tcW w:w="1984" w:type="dxa"/>
            <w:tcBorders>
              <w:top w:val="double" w:color="auto" w:sz="4" w:space="0"/>
              <w:left w:val="nil"/>
              <w:bottom w:val="single" w:color="auto" w:sz="4" w:space="0"/>
              <w:right w:val="single" w:color="auto" w:sz="4" w:space="0"/>
            </w:tcBorders>
            <w:shd w:val="clear" w:color="000000" w:fill="D9D9D9"/>
            <w:vAlign w:val="center"/>
          </w:tcPr>
          <w:p w14:paraId="53A5B0E5">
            <w:pPr>
              <w:widowControl/>
              <w:jc w:val="center"/>
              <w:rPr>
                <w:rFonts w:ascii="宋体" w:hAnsi="宋体" w:cs="宋体"/>
                <w:b/>
                <w:bCs/>
                <w:kern w:val="0"/>
                <w:sz w:val="21"/>
                <w:szCs w:val="21"/>
              </w:rPr>
            </w:pPr>
            <w:r>
              <w:rPr>
                <w:rFonts w:hint="eastAsia" w:ascii="宋体" w:hAnsi="宋体" w:cs="宋体"/>
                <w:b/>
                <w:bCs/>
                <w:kern w:val="0"/>
                <w:sz w:val="21"/>
                <w:szCs w:val="21"/>
              </w:rPr>
              <w:t>项目名称</w:t>
            </w:r>
          </w:p>
        </w:tc>
        <w:tc>
          <w:tcPr>
            <w:tcW w:w="3969" w:type="dxa"/>
            <w:tcBorders>
              <w:top w:val="double" w:color="auto" w:sz="4" w:space="0"/>
              <w:left w:val="nil"/>
              <w:bottom w:val="single" w:color="auto" w:sz="4" w:space="0"/>
              <w:right w:val="single" w:color="auto" w:sz="4" w:space="0"/>
            </w:tcBorders>
            <w:shd w:val="clear" w:color="000000" w:fill="D9D9D9"/>
            <w:vAlign w:val="center"/>
          </w:tcPr>
          <w:p w14:paraId="2540E908">
            <w:pPr>
              <w:widowControl/>
              <w:jc w:val="center"/>
              <w:rPr>
                <w:rFonts w:ascii="宋体" w:hAnsi="宋体" w:cs="宋体"/>
                <w:b/>
                <w:bCs/>
                <w:kern w:val="0"/>
                <w:sz w:val="21"/>
                <w:szCs w:val="21"/>
              </w:rPr>
            </w:pPr>
            <w:r>
              <w:rPr>
                <w:rFonts w:hint="eastAsia" w:ascii="宋体" w:hAnsi="宋体" w:cs="宋体"/>
                <w:b/>
                <w:bCs/>
                <w:kern w:val="0"/>
                <w:sz w:val="21"/>
                <w:szCs w:val="21"/>
              </w:rPr>
              <w:t>服务需求及说明</w:t>
            </w:r>
          </w:p>
        </w:tc>
        <w:tc>
          <w:tcPr>
            <w:tcW w:w="1418" w:type="dxa"/>
            <w:tcBorders>
              <w:top w:val="double" w:color="auto" w:sz="4" w:space="0"/>
              <w:left w:val="nil"/>
              <w:bottom w:val="single" w:color="auto" w:sz="4" w:space="0"/>
              <w:right w:val="double" w:color="auto" w:sz="4" w:space="0"/>
            </w:tcBorders>
            <w:shd w:val="clear" w:color="000000" w:fill="D9D9D9"/>
            <w:vAlign w:val="center"/>
          </w:tcPr>
          <w:p w14:paraId="34905039">
            <w:pPr>
              <w:widowControl/>
              <w:jc w:val="center"/>
              <w:rPr>
                <w:rFonts w:ascii="宋体" w:hAnsi="宋体" w:cs="宋体"/>
                <w:b/>
                <w:bCs/>
                <w:kern w:val="0"/>
                <w:sz w:val="21"/>
                <w:szCs w:val="21"/>
              </w:rPr>
            </w:pPr>
            <w:r>
              <w:rPr>
                <w:rFonts w:hint="eastAsia" w:ascii="宋体" w:hAnsi="宋体" w:cs="宋体"/>
                <w:b/>
                <w:bCs/>
                <w:kern w:val="0"/>
                <w:sz w:val="21"/>
                <w:szCs w:val="21"/>
              </w:rPr>
              <w:t>金额</w:t>
            </w:r>
            <w:r>
              <w:rPr>
                <w:rFonts w:hint="eastAsia" w:ascii="宋体" w:hAnsi="宋体" w:cs="宋体"/>
                <w:b/>
                <w:bCs/>
                <w:kern w:val="0"/>
                <w:sz w:val="21"/>
                <w:szCs w:val="21"/>
              </w:rPr>
              <w:br w:type="textWrapping"/>
            </w:r>
            <w:r>
              <w:rPr>
                <w:rFonts w:hint="eastAsia" w:ascii="宋体" w:hAnsi="宋体" w:cs="宋体"/>
                <w:b/>
                <w:bCs/>
                <w:kern w:val="0"/>
                <w:sz w:val="21"/>
                <w:szCs w:val="21"/>
              </w:rPr>
              <w:t>（万元）</w:t>
            </w:r>
          </w:p>
        </w:tc>
      </w:tr>
      <w:tr w14:paraId="71E1ED99">
        <w:tblPrEx>
          <w:tblCellMar>
            <w:top w:w="0" w:type="dxa"/>
            <w:left w:w="108" w:type="dxa"/>
            <w:bottom w:w="0" w:type="dxa"/>
            <w:right w:w="108" w:type="dxa"/>
          </w:tblCellMar>
        </w:tblPrEx>
        <w:trPr>
          <w:trHeight w:val="1325" w:hRule="atLeast"/>
        </w:trPr>
        <w:tc>
          <w:tcPr>
            <w:tcW w:w="841" w:type="dxa"/>
            <w:vMerge w:val="restart"/>
            <w:tcBorders>
              <w:top w:val="nil"/>
              <w:left w:val="double" w:color="auto" w:sz="4" w:space="0"/>
              <w:bottom w:val="nil"/>
              <w:right w:val="single" w:color="auto" w:sz="4" w:space="0"/>
            </w:tcBorders>
            <w:shd w:val="clear" w:color="auto" w:fill="auto"/>
            <w:noWrap/>
            <w:vAlign w:val="center"/>
          </w:tcPr>
          <w:p w14:paraId="6D89AACE">
            <w:pPr>
              <w:widowControl/>
              <w:jc w:val="center"/>
              <w:rPr>
                <w:rFonts w:ascii="宋体" w:hAnsi="宋体" w:cs="宋体"/>
                <w:kern w:val="0"/>
                <w:sz w:val="21"/>
                <w:szCs w:val="21"/>
              </w:rPr>
            </w:pPr>
            <w:r>
              <w:rPr>
                <w:rFonts w:hint="eastAsia" w:ascii="宋体" w:hAnsi="宋体" w:cs="宋体"/>
                <w:kern w:val="0"/>
                <w:sz w:val="21"/>
                <w:szCs w:val="21"/>
              </w:rPr>
              <w:t>1</w:t>
            </w:r>
          </w:p>
        </w:tc>
        <w:tc>
          <w:tcPr>
            <w:tcW w:w="1984" w:type="dxa"/>
            <w:vMerge w:val="restart"/>
            <w:tcBorders>
              <w:top w:val="nil"/>
              <w:left w:val="single" w:color="auto" w:sz="4" w:space="0"/>
              <w:bottom w:val="nil"/>
              <w:right w:val="single" w:color="auto" w:sz="4" w:space="0"/>
            </w:tcBorders>
            <w:shd w:val="clear" w:color="auto" w:fill="auto"/>
            <w:vAlign w:val="center"/>
          </w:tcPr>
          <w:p w14:paraId="70857DFB">
            <w:pPr>
              <w:widowControl/>
              <w:jc w:val="left"/>
              <w:rPr>
                <w:rFonts w:ascii="宋体" w:hAnsi="宋体" w:cs="宋体"/>
                <w:kern w:val="0"/>
                <w:sz w:val="21"/>
                <w:szCs w:val="21"/>
              </w:rPr>
            </w:pPr>
            <w:r>
              <w:rPr>
                <w:rFonts w:hint="eastAsia" w:ascii="宋体" w:hAnsi="宋体" w:cs="宋体"/>
                <w:kern w:val="0"/>
                <w:sz w:val="21"/>
                <w:szCs w:val="21"/>
              </w:rPr>
              <w:t>“另册管理”机制配套服务</w:t>
            </w:r>
          </w:p>
        </w:tc>
        <w:tc>
          <w:tcPr>
            <w:tcW w:w="3969" w:type="dxa"/>
            <w:tcBorders>
              <w:top w:val="single" w:color="auto" w:sz="4" w:space="0"/>
              <w:left w:val="nil"/>
              <w:bottom w:val="single" w:color="auto" w:sz="4" w:space="0"/>
              <w:right w:val="single" w:color="auto" w:sz="4" w:space="0"/>
            </w:tcBorders>
            <w:shd w:val="clear" w:color="auto" w:fill="auto"/>
            <w:vAlign w:val="center"/>
          </w:tcPr>
          <w:p w14:paraId="6FC3EE10">
            <w:pPr>
              <w:rPr>
                <w:rFonts w:ascii="宋体" w:hAnsi="宋体" w:cs="宋体"/>
                <w:kern w:val="0"/>
                <w:sz w:val="21"/>
                <w:szCs w:val="21"/>
              </w:rPr>
            </w:pPr>
            <w:r>
              <w:rPr>
                <w:rFonts w:hint="eastAsia" w:ascii="宋体" w:hAnsi="宋体" w:cs="宋体"/>
                <w:kern w:val="0"/>
                <w:sz w:val="21"/>
                <w:szCs w:val="21"/>
              </w:rPr>
              <w:t>针对个体工商户，明确“被列入经营异常名录满两年未移出”的识别规则与起算时点认定标准。</w:t>
            </w:r>
          </w:p>
        </w:tc>
        <w:tc>
          <w:tcPr>
            <w:tcW w:w="1418" w:type="dxa"/>
            <w:vMerge w:val="restart"/>
            <w:tcBorders>
              <w:top w:val="nil"/>
              <w:left w:val="single" w:color="auto" w:sz="4" w:space="0"/>
              <w:bottom w:val="nil"/>
              <w:right w:val="double" w:color="auto" w:sz="4" w:space="0"/>
            </w:tcBorders>
            <w:shd w:val="clear" w:color="auto" w:fill="auto"/>
            <w:noWrap/>
            <w:vAlign w:val="center"/>
          </w:tcPr>
          <w:p w14:paraId="357B5E71">
            <w:pPr>
              <w:widowControl/>
              <w:jc w:val="center"/>
              <w:rPr>
                <w:rFonts w:ascii="宋体" w:hAnsi="宋体" w:cs="宋体"/>
                <w:kern w:val="0"/>
                <w:sz w:val="21"/>
                <w:szCs w:val="21"/>
              </w:rPr>
            </w:pPr>
          </w:p>
        </w:tc>
      </w:tr>
      <w:tr w14:paraId="275B1ECE">
        <w:tblPrEx>
          <w:tblCellMar>
            <w:top w:w="0" w:type="dxa"/>
            <w:left w:w="108" w:type="dxa"/>
            <w:bottom w:w="0" w:type="dxa"/>
            <w:right w:w="108" w:type="dxa"/>
          </w:tblCellMar>
        </w:tblPrEx>
        <w:trPr>
          <w:trHeight w:val="280" w:hRule="atLeast"/>
        </w:trPr>
        <w:tc>
          <w:tcPr>
            <w:tcW w:w="841" w:type="dxa"/>
            <w:vMerge w:val="continue"/>
            <w:tcBorders>
              <w:top w:val="nil"/>
              <w:left w:val="double" w:color="auto" w:sz="4" w:space="0"/>
              <w:bottom w:val="nil"/>
              <w:right w:val="single" w:color="auto" w:sz="4" w:space="0"/>
            </w:tcBorders>
            <w:vAlign w:val="center"/>
          </w:tcPr>
          <w:p w14:paraId="3350BC8E">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2076E02B">
            <w:pPr>
              <w:widowControl/>
              <w:jc w:val="left"/>
              <w:rPr>
                <w:rFonts w:ascii="宋体" w:hAnsi="宋体" w:cs="宋体"/>
                <w:kern w:val="0"/>
                <w:sz w:val="21"/>
                <w:szCs w:val="21"/>
              </w:rPr>
            </w:pPr>
          </w:p>
        </w:tc>
        <w:tc>
          <w:tcPr>
            <w:tcW w:w="3969" w:type="dxa"/>
            <w:tcBorders>
              <w:top w:val="single" w:color="auto" w:sz="4" w:space="0"/>
              <w:left w:val="nil"/>
              <w:bottom w:val="single" w:color="auto" w:sz="4" w:space="0"/>
              <w:right w:val="nil"/>
            </w:tcBorders>
            <w:shd w:val="clear" w:color="auto" w:fill="auto"/>
            <w:vAlign w:val="center"/>
          </w:tcPr>
          <w:p w14:paraId="47F63FB6">
            <w:pPr>
              <w:widowControl/>
              <w:jc w:val="left"/>
              <w:rPr>
                <w:rFonts w:ascii="宋体" w:hAnsi="宋体" w:cs="宋体"/>
                <w:color w:val="000000"/>
                <w:kern w:val="0"/>
                <w:sz w:val="21"/>
                <w:szCs w:val="21"/>
              </w:rPr>
            </w:pPr>
            <w:r>
              <w:rPr>
                <w:rFonts w:hint="eastAsia" w:ascii="宋体" w:hAnsi="宋体" w:cs="宋体"/>
                <w:color w:val="000000"/>
                <w:kern w:val="0"/>
                <w:sz w:val="21"/>
                <w:szCs w:val="21"/>
              </w:rPr>
              <w:t>协助制定另册管理批量纳入与个案移出的操作指引。</w:t>
            </w:r>
          </w:p>
        </w:tc>
        <w:tc>
          <w:tcPr>
            <w:tcW w:w="1418" w:type="dxa"/>
            <w:vMerge w:val="continue"/>
            <w:tcBorders>
              <w:top w:val="nil"/>
              <w:left w:val="single" w:color="auto" w:sz="4" w:space="0"/>
              <w:bottom w:val="nil"/>
              <w:right w:val="double" w:color="auto" w:sz="4" w:space="0"/>
            </w:tcBorders>
            <w:vAlign w:val="center"/>
          </w:tcPr>
          <w:p w14:paraId="23BF5063">
            <w:pPr>
              <w:widowControl/>
              <w:jc w:val="left"/>
              <w:rPr>
                <w:rFonts w:ascii="宋体" w:hAnsi="宋体" w:cs="宋体"/>
                <w:kern w:val="0"/>
                <w:sz w:val="21"/>
                <w:szCs w:val="21"/>
              </w:rPr>
            </w:pPr>
          </w:p>
        </w:tc>
      </w:tr>
      <w:tr w14:paraId="7A621703">
        <w:tblPrEx>
          <w:tblCellMar>
            <w:top w:w="0" w:type="dxa"/>
            <w:left w:w="108" w:type="dxa"/>
            <w:bottom w:w="0" w:type="dxa"/>
            <w:right w:w="108" w:type="dxa"/>
          </w:tblCellMar>
        </w:tblPrEx>
        <w:trPr>
          <w:trHeight w:val="540" w:hRule="atLeast"/>
        </w:trPr>
        <w:tc>
          <w:tcPr>
            <w:tcW w:w="841" w:type="dxa"/>
            <w:vMerge w:val="restart"/>
            <w:tcBorders>
              <w:top w:val="single" w:color="auto" w:sz="4" w:space="0"/>
              <w:left w:val="double" w:color="auto" w:sz="4" w:space="0"/>
              <w:bottom w:val="nil"/>
              <w:right w:val="single" w:color="auto" w:sz="4" w:space="0"/>
            </w:tcBorders>
            <w:shd w:val="clear" w:color="auto" w:fill="auto"/>
            <w:noWrap/>
            <w:vAlign w:val="center"/>
          </w:tcPr>
          <w:p w14:paraId="1DA723EB">
            <w:pPr>
              <w:widowControl/>
              <w:jc w:val="center"/>
              <w:rPr>
                <w:rFonts w:ascii="宋体" w:hAnsi="宋体" w:cs="宋体"/>
                <w:kern w:val="0"/>
                <w:sz w:val="21"/>
                <w:szCs w:val="21"/>
              </w:rPr>
            </w:pPr>
            <w:r>
              <w:rPr>
                <w:rFonts w:hint="eastAsia" w:ascii="宋体" w:hAnsi="宋体" w:cs="宋体"/>
                <w:kern w:val="0"/>
                <w:sz w:val="21"/>
                <w:szCs w:val="21"/>
              </w:rPr>
              <w:t>2</w:t>
            </w:r>
          </w:p>
        </w:tc>
        <w:tc>
          <w:tcPr>
            <w:tcW w:w="19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DE32C1">
            <w:pPr>
              <w:widowControl/>
              <w:jc w:val="left"/>
              <w:rPr>
                <w:rFonts w:ascii="宋体" w:hAnsi="宋体" w:cs="宋体"/>
                <w:kern w:val="0"/>
                <w:sz w:val="21"/>
                <w:szCs w:val="21"/>
              </w:rPr>
            </w:pPr>
            <w:r>
              <w:rPr>
                <w:rFonts w:hint="eastAsia" w:ascii="宋体" w:hAnsi="宋体" w:cs="宋体"/>
                <w:kern w:val="0"/>
                <w:sz w:val="21"/>
                <w:szCs w:val="21"/>
              </w:rPr>
              <w:t>业务规则衔接与联动机制设计</w:t>
            </w:r>
          </w:p>
        </w:tc>
        <w:tc>
          <w:tcPr>
            <w:tcW w:w="3969" w:type="dxa"/>
            <w:tcBorders>
              <w:top w:val="single" w:color="auto" w:sz="4" w:space="0"/>
              <w:left w:val="nil"/>
              <w:bottom w:val="single" w:color="auto" w:sz="4" w:space="0"/>
              <w:right w:val="nil"/>
            </w:tcBorders>
            <w:shd w:val="clear" w:color="auto" w:fill="auto"/>
            <w:vAlign w:val="center"/>
          </w:tcPr>
          <w:p w14:paraId="570F88D3">
            <w:pPr>
              <w:widowControl/>
              <w:jc w:val="left"/>
              <w:rPr>
                <w:rFonts w:ascii="宋体" w:hAnsi="宋体" w:cs="宋体"/>
                <w:color w:val="000000"/>
                <w:kern w:val="0"/>
                <w:sz w:val="21"/>
                <w:szCs w:val="21"/>
              </w:rPr>
            </w:pPr>
            <w:r>
              <w:rPr>
                <w:rFonts w:hint="eastAsia" w:ascii="宋体" w:hAnsi="宋体" w:cs="宋体"/>
                <w:color w:val="000000"/>
                <w:kern w:val="0"/>
                <w:sz w:val="21"/>
                <w:szCs w:val="21"/>
              </w:rPr>
              <w:t>管理口径调整方案：设计被纳入另册管理主体在在册统计、日常监管中的剔除规则，明确其不参与“双随机、一公开”抽查及信用风险分类管理的适用范围。</w:t>
            </w:r>
          </w:p>
        </w:tc>
        <w:tc>
          <w:tcPr>
            <w:tcW w:w="1418" w:type="dxa"/>
            <w:vMerge w:val="restart"/>
            <w:tcBorders>
              <w:top w:val="single" w:color="auto" w:sz="4" w:space="0"/>
              <w:left w:val="single" w:color="auto" w:sz="4" w:space="0"/>
              <w:bottom w:val="nil"/>
              <w:right w:val="double" w:color="auto" w:sz="4" w:space="0"/>
            </w:tcBorders>
            <w:shd w:val="clear" w:color="auto" w:fill="auto"/>
            <w:noWrap/>
            <w:vAlign w:val="center"/>
          </w:tcPr>
          <w:p w14:paraId="627D095A">
            <w:pPr>
              <w:widowControl/>
              <w:jc w:val="center"/>
              <w:rPr>
                <w:rFonts w:ascii="宋体" w:hAnsi="宋体" w:cs="宋体"/>
                <w:kern w:val="0"/>
                <w:sz w:val="21"/>
                <w:szCs w:val="21"/>
              </w:rPr>
            </w:pPr>
          </w:p>
        </w:tc>
      </w:tr>
      <w:tr w14:paraId="12DABA35">
        <w:tblPrEx>
          <w:tblCellMar>
            <w:top w:w="0" w:type="dxa"/>
            <w:left w:w="108" w:type="dxa"/>
            <w:bottom w:w="0" w:type="dxa"/>
            <w:right w:w="108" w:type="dxa"/>
          </w:tblCellMar>
        </w:tblPrEx>
        <w:trPr>
          <w:trHeight w:val="540" w:hRule="atLeast"/>
        </w:trPr>
        <w:tc>
          <w:tcPr>
            <w:tcW w:w="841" w:type="dxa"/>
            <w:vMerge w:val="continue"/>
            <w:tcBorders>
              <w:top w:val="single" w:color="auto" w:sz="4" w:space="0"/>
              <w:left w:val="double" w:color="auto" w:sz="4" w:space="0"/>
              <w:bottom w:val="nil"/>
              <w:right w:val="single" w:color="auto" w:sz="4" w:space="0"/>
            </w:tcBorders>
            <w:vAlign w:val="center"/>
          </w:tcPr>
          <w:p w14:paraId="0B62C618">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0D3B88BA">
            <w:pPr>
              <w:widowControl/>
              <w:jc w:val="left"/>
              <w:rPr>
                <w:rFonts w:ascii="宋体" w:hAnsi="宋体" w:cs="宋体"/>
                <w:kern w:val="0"/>
                <w:sz w:val="21"/>
                <w:szCs w:val="21"/>
              </w:rPr>
            </w:pPr>
          </w:p>
        </w:tc>
        <w:tc>
          <w:tcPr>
            <w:tcW w:w="3969" w:type="dxa"/>
            <w:tcBorders>
              <w:top w:val="single" w:color="auto" w:sz="4" w:space="0"/>
              <w:left w:val="nil"/>
              <w:bottom w:val="nil"/>
              <w:right w:val="nil"/>
            </w:tcBorders>
            <w:shd w:val="clear" w:color="auto" w:fill="auto"/>
            <w:vAlign w:val="center"/>
          </w:tcPr>
          <w:p w14:paraId="6C01E661">
            <w:pPr>
              <w:widowControl/>
              <w:jc w:val="left"/>
              <w:rPr>
                <w:rFonts w:ascii="宋体" w:hAnsi="宋体" w:cs="宋体"/>
                <w:color w:val="000000"/>
                <w:kern w:val="0"/>
                <w:sz w:val="21"/>
                <w:szCs w:val="21"/>
              </w:rPr>
            </w:pPr>
            <w:r>
              <w:rPr>
                <w:rFonts w:hint="eastAsia" w:ascii="宋体" w:hAnsi="宋体" w:cs="宋体"/>
                <w:color w:val="000000"/>
                <w:kern w:val="0"/>
                <w:sz w:val="21"/>
                <w:szCs w:val="21"/>
              </w:rPr>
              <w:t>业务办理边界梳理：界定另册管理期间允许办理的业务类型（仅限出资期限与注册资本调整、普通注销），形成受限业务清单及解释说明。</w:t>
            </w:r>
          </w:p>
        </w:tc>
        <w:tc>
          <w:tcPr>
            <w:tcW w:w="1418" w:type="dxa"/>
            <w:vMerge w:val="continue"/>
            <w:tcBorders>
              <w:top w:val="single" w:color="auto" w:sz="4" w:space="0"/>
              <w:left w:val="single" w:color="auto" w:sz="4" w:space="0"/>
              <w:bottom w:val="nil"/>
              <w:right w:val="double" w:color="auto" w:sz="4" w:space="0"/>
            </w:tcBorders>
            <w:vAlign w:val="center"/>
          </w:tcPr>
          <w:p w14:paraId="1F55BDAF">
            <w:pPr>
              <w:widowControl/>
              <w:jc w:val="left"/>
              <w:rPr>
                <w:rFonts w:ascii="宋体" w:hAnsi="宋体" w:cs="宋体"/>
                <w:kern w:val="0"/>
                <w:sz w:val="21"/>
                <w:szCs w:val="21"/>
              </w:rPr>
            </w:pPr>
          </w:p>
        </w:tc>
      </w:tr>
      <w:tr w14:paraId="15C6E54D">
        <w:tblPrEx>
          <w:tblCellMar>
            <w:top w:w="0" w:type="dxa"/>
            <w:left w:w="108" w:type="dxa"/>
            <w:bottom w:w="0" w:type="dxa"/>
            <w:right w:w="108" w:type="dxa"/>
          </w:tblCellMar>
        </w:tblPrEx>
        <w:trPr>
          <w:trHeight w:val="1400" w:hRule="atLeast"/>
        </w:trPr>
        <w:tc>
          <w:tcPr>
            <w:tcW w:w="841" w:type="dxa"/>
            <w:vMerge w:val="continue"/>
            <w:tcBorders>
              <w:top w:val="single" w:color="auto" w:sz="4" w:space="0"/>
              <w:left w:val="double" w:color="auto" w:sz="4" w:space="0"/>
              <w:bottom w:val="nil"/>
              <w:right w:val="single" w:color="auto" w:sz="4" w:space="0"/>
            </w:tcBorders>
            <w:vAlign w:val="center"/>
          </w:tcPr>
          <w:p w14:paraId="5A8FFEF0">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6151C9A7">
            <w:pPr>
              <w:widowControl/>
              <w:jc w:val="left"/>
              <w:rPr>
                <w:rFonts w:ascii="宋体" w:hAnsi="宋体" w:cs="宋体"/>
                <w:kern w:val="0"/>
                <w:sz w:val="21"/>
                <w:szCs w:val="21"/>
              </w:rPr>
            </w:pPr>
          </w:p>
        </w:tc>
        <w:tc>
          <w:tcPr>
            <w:tcW w:w="3969" w:type="dxa"/>
            <w:tcBorders>
              <w:top w:val="single" w:color="auto" w:sz="4" w:space="0"/>
              <w:left w:val="nil"/>
              <w:bottom w:val="single" w:color="auto" w:sz="4" w:space="0"/>
              <w:right w:val="single" w:color="auto" w:sz="4" w:space="0"/>
            </w:tcBorders>
            <w:shd w:val="clear" w:color="auto" w:fill="auto"/>
            <w:vAlign w:val="center"/>
          </w:tcPr>
          <w:p w14:paraId="528C3D9D">
            <w:pPr>
              <w:widowControl/>
              <w:jc w:val="left"/>
              <w:rPr>
                <w:rFonts w:ascii="宋体" w:hAnsi="宋体" w:cs="宋体"/>
                <w:kern w:val="0"/>
                <w:sz w:val="21"/>
                <w:szCs w:val="21"/>
              </w:rPr>
            </w:pPr>
            <w:r>
              <w:rPr>
                <w:rFonts w:hint="eastAsia" w:ascii="宋体" w:hAnsi="宋体" w:cs="宋体"/>
                <w:kern w:val="0"/>
                <w:sz w:val="21"/>
                <w:szCs w:val="21"/>
              </w:rPr>
              <w:t>联动恢复流程设计，个体户侧：制定“移出经营异常名录—恢复在册状态”的协同操作流程，确保状态变更的及时性与一致性。</w:t>
            </w:r>
          </w:p>
        </w:tc>
        <w:tc>
          <w:tcPr>
            <w:tcW w:w="1418" w:type="dxa"/>
            <w:vMerge w:val="continue"/>
            <w:tcBorders>
              <w:top w:val="single" w:color="auto" w:sz="4" w:space="0"/>
              <w:left w:val="single" w:color="auto" w:sz="4" w:space="0"/>
              <w:bottom w:val="nil"/>
              <w:right w:val="double" w:color="auto" w:sz="4" w:space="0"/>
            </w:tcBorders>
            <w:vAlign w:val="center"/>
          </w:tcPr>
          <w:p w14:paraId="15AF7ACC">
            <w:pPr>
              <w:widowControl/>
              <w:jc w:val="left"/>
              <w:rPr>
                <w:rFonts w:ascii="宋体" w:hAnsi="宋体" w:cs="宋体"/>
                <w:kern w:val="0"/>
                <w:sz w:val="21"/>
                <w:szCs w:val="21"/>
              </w:rPr>
            </w:pPr>
          </w:p>
        </w:tc>
      </w:tr>
      <w:tr w14:paraId="2F71D126">
        <w:tblPrEx>
          <w:tblCellMar>
            <w:top w:w="0" w:type="dxa"/>
            <w:left w:w="108" w:type="dxa"/>
            <w:bottom w:w="0" w:type="dxa"/>
            <w:right w:w="108" w:type="dxa"/>
          </w:tblCellMar>
        </w:tblPrEx>
        <w:trPr>
          <w:trHeight w:val="280" w:hRule="atLeast"/>
        </w:trPr>
        <w:tc>
          <w:tcPr>
            <w:tcW w:w="841" w:type="dxa"/>
            <w:vMerge w:val="continue"/>
            <w:tcBorders>
              <w:top w:val="single" w:color="auto" w:sz="4" w:space="0"/>
              <w:left w:val="double" w:color="auto" w:sz="4" w:space="0"/>
              <w:bottom w:val="nil"/>
              <w:right w:val="single" w:color="auto" w:sz="4" w:space="0"/>
            </w:tcBorders>
            <w:vAlign w:val="center"/>
          </w:tcPr>
          <w:p w14:paraId="588C68EF">
            <w:pPr>
              <w:widowControl/>
              <w:jc w:val="left"/>
              <w:rPr>
                <w:rFonts w:ascii="宋体" w:hAnsi="宋体" w:cs="宋体"/>
                <w:kern w:val="0"/>
                <w:sz w:val="21"/>
                <w:szCs w:val="21"/>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70D3D313">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75E4B284">
            <w:pPr>
              <w:widowControl/>
              <w:jc w:val="left"/>
              <w:rPr>
                <w:rFonts w:ascii="宋体" w:hAnsi="宋体" w:cs="宋体"/>
                <w:kern w:val="0"/>
                <w:sz w:val="21"/>
                <w:szCs w:val="21"/>
              </w:rPr>
            </w:pPr>
            <w:r>
              <w:rPr>
                <w:rFonts w:hint="eastAsia" w:ascii="宋体" w:hAnsi="宋体" w:cs="宋体"/>
                <w:kern w:val="0"/>
                <w:sz w:val="21"/>
                <w:szCs w:val="21"/>
              </w:rPr>
              <w:t>注销业务衔接指引，针对另册管理主体，制定普通注销与强制注销的适用情形及状态流转规则。</w:t>
            </w:r>
          </w:p>
        </w:tc>
        <w:tc>
          <w:tcPr>
            <w:tcW w:w="1418" w:type="dxa"/>
            <w:vMerge w:val="continue"/>
            <w:tcBorders>
              <w:top w:val="single" w:color="auto" w:sz="4" w:space="0"/>
              <w:left w:val="single" w:color="auto" w:sz="4" w:space="0"/>
              <w:bottom w:val="nil"/>
              <w:right w:val="double" w:color="auto" w:sz="4" w:space="0"/>
            </w:tcBorders>
            <w:vAlign w:val="center"/>
          </w:tcPr>
          <w:p w14:paraId="4393E770">
            <w:pPr>
              <w:widowControl/>
              <w:jc w:val="left"/>
              <w:rPr>
                <w:rFonts w:ascii="宋体" w:hAnsi="宋体" w:cs="宋体"/>
                <w:kern w:val="0"/>
                <w:sz w:val="21"/>
                <w:szCs w:val="21"/>
              </w:rPr>
            </w:pPr>
          </w:p>
        </w:tc>
      </w:tr>
      <w:tr w14:paraId="6EAAE65C">
        <w:tblPrEx>
          <w:tblCellMar>
            <w:top w:w="0" w:type="dxa"/>
            <w:left w:w="108" w:type="dxa"/>
            <w:bottom w:w="0" w:type="dxa"/>
            <w:right w:w="108" w:type="dxa"/>
          </w:tblCellMar>
        </w:tblPrEx>
        <w:trPr>
          <w:trHeight w:val="1120" w:hRule="atLeast"/>
        </w:trPr>
        <w:tc>
          <w:tcPr>
            <w:tcW w:w="841" w:type="dxa"/>
            <w:vMerge w:val="restart"/>
            <w:tcBorders>
              <w:top w:val="nil"/>
              <w:left w:val="double" w:color="auto" w:sz="4" w:space="0"/>
              <w:bottom w:val="nil"/>
              <w:right w:val="single" w:color="auto" w:sz="4" w:space="0"/>
            </w:tcBorders>
            <w:shd w:val="clear" w:color="auto" w:fill="auto"/>
            <w:noWrap/>
            <w:vAlign w:val="center"/>
          </w:tcPr>
          <w:p w14:paraId="698DA44B">
            <w:pPr>
              <w:widowControl/>
              <w:jc w:val="center"/>
              <w:rPr>
                <w:rFonts w:ascii="宋体" w:hAnsi="宋体" w:cs="宋体"/>
                <w:kern w:val="0"/>
                <w:sz w:val="21"/>
                <w:szCs w:val="21"/>
              </w:rPr>
            </w:pPr>
            <w:r>
              <w:rPr>
                <w:rFonts w:hint="eastAsia" w:ascii="宋体" w:hAnsi="宋体" w:cs="宋体"/>
                <w:kern w:val="0"/>
                <w:sz w:val="21"/>
                <w:szCs w:val="21"/>
              </w:rPr>
              <w:t>3</w:t>
            </w:r>
          </w:p>
        </w:tc>
        <w:tc>
          <w:tcPr>
            <w:tcW w:w="1984" w:type="dxa"/>
            <w:vMerge w:val="restart"/>
            <w:tcBorders>
              <w:top w:val="nil"/>
              <w:left w:val="single" w:color="auto" w:sz="4" w:space="0"/>
              <w:bottom w:val="nil"/>
              <w:right w:val="single" w:color="auto" w:sz="4" w:space="0"/>
            </w:tcBorders>
            <w:shd w:val="clear" w:color="auto" w:fill="auto"/>
            <w:noWrap/>
            <w:vAlign w:val="center"/>
          </w:tcPr>
          <w:p w14:paraId="5A38E044">
            <w:pPr>
              <w:widowControl/>
              <w:jc w:val="left"/>
              <w:rPr>
                <w:rFonts w:ascii="宋体" w:hAnsi="宋体" w:cs="宋体"/>
                <w:kern w:val="0"/>
                <w:sz w:val="21"/>
                <w:szCs w:val="21"/>
              </w:rPr>
            </w:pPr>
            <w:r>
              <w:rPr>
                <w:rFonts w:hint="eastAsia" w:ascii="宋体" w:hAnsi="宋体" w:cs="宋体"/>
                <w:kern w:val="0"/>
                <w:sz w:val="21"/>
                <w:szCs w:val="21"/>
              </w:rPr>
              <w:t>历史吊销企业状态梳理服务</w:t>
            </w:r>
          </w:p>
        </w:tc>
        <w:tc>
          <w:tcPr>
            <w:tcW w:w="3969" w:type="dxa"/>
            <w:tcBorders>
              <w:top w:val="nil"/>
              <w:left w:val="nil"/>
              <w:bottom w:val="single" w:color="auto" w:sz="4" w:space="0"/>
              <w:right w:val="single" w:color="auto" w:sz="4" w:space="0"/>
            </w:tcBorders>
            <w:shd w:val="clear" w:color="auto" w:fill="auto"/>
            <w:vAlign w:val="center"/>
          </w:tcPr>
          <w:p w14:paraId="4EAF4A76">
            <w:pPr>
              <w:widowControl/>
              <w:jc w:val="left"/>
              <w:rPr>
                <w:rFonts w:ascii="宋体" w:hAnsi="宋体" w:cs="宋体"/>
                <w:kern w:val="0"/>
                <w:sz w:val="21"/>
                <w:szCs w:val="21"/>
              </w:rPr>
            </w:pPr>
            <w:r>
              <w:rPr>
                <w:rFonts w:hint="eastAsia" w:ascii="宋体" w:hAnsi="宋体" w:cs="宋体"/>
                <w:kern w:val="0"/>
                <w:sz w:val="21"/>
                <w:szCs w:val="21"/>
              </w:rPr>
              <w:t>存量数据筛选与台账建立，依据 2004年7月1日《行政许可法》施行前 的时间节点，对现有吊销企业数据进行专项梳理，筛选出符合“历史吊销企业”认定条件的存量名单。建立历史吊销企业专项管理台账，记录企业基本信息、吊销日期、当前状态等内容。</w:t>
            </w:r>
          </w:p>
        </w:tc>
        <w:tc>
          <w:tcPr>
            <w:tcW w:w="1418" w:type="dxa"/>
            <w:vMerge w:val="restart"/>
            <w:tcBorders>
              <w:top w:val="single" w:color="auto" w:sz="4" w:space="0"/>
              <w:left w:val="single" w:color="auto" w:sz="4" w:space="0"/>
              <w:bottom w:val="nil"/>
              <w:right w:val="double" w:color="auto" w:sz="4" w:space="0"/>
            </w:tcBorders>
            <w:shd w:val="clear" w:color="auto" w:fill="auto"/>
            <w:noWrap/>
            <w:vAlign w:val="center"/>
          </w:tcPr>
          <w:p w14:paraId="5BADBDB9">
            <w:pPr>
              <w:widowControl/>
              <w:jc w:val="center"/>
              <w:rPr>
                <w:rFonts w:ascii="宋体" w:hAnsi="宋体" w:cs="宋体"/>
                <w:kern w:val="0"/>
                <w:sz w:val="21"/>
                <w:szCs w:val="21"/>
              </w:rPr>
            </w:pPr>
          </w:p>
        </w:tc>
      </w:tr>
      <w:tr w14:paraId="43C0B176">
        <w:tblPrEx>
          <w:tblCellMar>
            <w:top w:w="0" w:type="dxa"/>
            <w:left w:w="108" w:type="dxa"/>
            <w:bottom w:w="0" w:type="dxa"/>
            <w:right w:w="108" w:type="dxa"/>
          </w:tblCellMar>
        </w:tblPrEx>
        <w:trPr>
          <w:trHeight w:val="1120" w:hRule="atLeast"/>
        </w:trPr>
        <w:tc>
          <w:tcPr>
            <w:tcW w:w="841" w:type="dxa"/>
            <w:vMerge w:val="continue"/>
            <w:tcBorders>
              <w:top w:val="nil"/>
              <w:left w:val="double" w:color="auto" w:sz="4" w:space="0"/>
              <w:bottom w:val="nil"/>
              <w:right w:val="single" w:color="auto" w:sz="4" w:space="0"/>
            </w:tcBorders>
            <w:vAlign w:val="center"/>
          </w:tcPr>
          <w:p w14:paraId="2D2B9590">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300B1005">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2553A30F">
            <w:pPr>
              <w:widowControl/>
              <w:jc w:val="left"/>
              <w:rPr>
                <w:rFonts w:ascii="宋体" w:hAnsi="宋体" w:cs="宋体"/>
                <w:kern w:val="0"/>
                <w:sz w:val="21"/>
                <w:szCs w:val="21"/>
              </w:rPr>
            </w:pPr>
            <w:r>
              <w:rPr>
                <w:rFonts w:hint="eastAsia" w:ascii="宋体" w:hAnsi="宋体" w:cs="宋体"/>
                <w:kern w:val="0"/>
                <w:sz w:val="21"/>
                <w:szCs w:val="21"/>
              </w:rPr>
              <w:t>状态标识规则与业务限制设计，制定“吊销，视同注销”状态标识的适用说明，明确该类企业主体资格的特殊法律地位。设计该类企业办理注销业务的适用规则：明确其不适用简易注销程序，仅可通过普通注销程序完成市场退出，并提供前台业务引导话术建议。</w:t>
            </w:r>
          </w:p>
        </w:tc>
        <w:tc>
          <w:tcPr>
            <w:tcW w:w="1418" w:type="dxa"/>
            <w:vMerge w:val="continue"/>
            <w:tcBorders>
              <w:top w:val="single" w:color="auto" w:sz="4" w:space="0"/>
              <w:left w:val="single" w:color="auto" w:sz="4" w:space="0"/>
              <w:bottom w:val="nil"/>
              <w:right w:val="double" w:color="auto" w:sz="4" w:space="0"/>
            </w:tcBorders>
            <w:vAlign w:val="center"/>
          </w:tcPr>
          <w:p w14:paraId="6DFA091F">
            <w:pPr>
              <w:widowControl/>
              <w:jc w:val="left"/>
              <w:rPr>
                <w:rFonts w:ascii="宋体" w:hAnsi="宋体" w:cs="宋体"/>
                <w:kern w:val="0"/>
                <w:sz w:val="21"/>
                <w:szCs w:val="21"/>
              </w:rPr>
            </w:pPr>
          </w:p>
        </w:tc>
      </w:tr>
      <w:tr w14:paraId="12E744D1">
        <w:tblPrEx>
          <w:tblCellMar>
            <w:top w:w="0" w:type="dxa"/>
            <w:left w:w="108" w:type="dxa"/>
            <w:bottom w:w="0" w:type="dxa"/>
            <w:right w:w="108" w:type="dxa"/>
          </w:tblCellMar>
        </w:tblPrEx>
        <w:trPr>
          <w:trHeight w:val="1400" w:hRule="atLeast"/>
        </w:trPr>
        <w:tc>
          <w:tcPr>
            <w:tcW w:w="841" w:type="dxa"/>
            <w:vMerge w:val="continue"/>
            <w:tcBorders>
              <w:top w:val="nil"/>
              <w:left w:val="double" w:color="auto" w:sz="4" w:space="0"/>
              <w:bottom w:val="nil"/>
              <w:right w:val="single" w:color="auto" w:sz="4" w:space="0"/>
            </w:tcBorders>
            <w:vAlign w:val="center"/>
          </w:tcPr>
          <w:p w14:paraId="4B558D3B">
            <w:pPr>
              <w:widowControl/>
              <w:jc w:val="left"/>
              <w:rPr>
                <w:rFonts w:ascii="宋体" w:hAnsi="宋体" w:cs="宋体"/>
                <w:kern w:val="0"/>
                <w:sz w:val="21"/>
                <w:szCs w:val="21"/>
              </w:rPr>
            </w:pPr>
          </w:p>
        </w:tc>
        <w:tc>
          <w:tcPr>
            <w:tcW w:w="1984" w:type="dxa"/>
            <w:vMerge w:val="continue"/>
            <w:tcBorders>
              <w:top w:val="nil"/>
              <w:left w:val="single" w:color="auto" w:sz="4" w:space="0"/>
              <w:bottom w:val="nil"/>
              <w:right w:val="single" w:color="auto" w:sz="4" w:space="0"/>
            </w:tcBorders>
            <w:vAlign w:val="center"/>
          </w:tcPr>
          <w:p w14:paraId="6433410A">
            <w:pPr>
              <w:widowControl/>
              <w:jc w:val="left"/>
              <w:rPr>
                <w:rFonts w:ascii="宋体" w:hAnsi="宋体" w:cs="宋体"/>
                <w:kern w:val="0"/>
                <w:sz w:val="21"/>
                <w:szCs w:val="21"/>
              </w:rPr>
            </w:pPr>
          </w:p>
        </w:tc>
        <w:tc>
          <w:tcPr>
            <w:tcW w:w="3969" w:type="dxa"/>
            <w:tcBorders>
              <w:top w:val="nil"/>
              <w:left w:val="nil"/>
              <w:bottom w:val="single" w:color="auto" w:sz="4" w:space="0"/>
              <w:right w:val="single" w:color="auto" w:sz="4" w:space="0"/>
            </w:tcBorders>
            <w:shd w:val="clear" w:color="auto" w:fill="auto"/>
            <w:vAlign w:val="center"/>
          </w:tcPr>
          <w:p w14:paraId="05FC05AF">
            <w:pPr>
              <w:widowControl/>
              <w:jc w:val="left"/>
              <w:rPr>
                <w:rFonts w:ascii="宋体" w:hAnsi="宋体" w:cs="宋体"/>
                <w:kern w:val="0"/>
                <w:sz w:val="21"/>
                <w:szCs w:val="21"/>
              </w:rPr>
            </w:pPr>
            <w:r>
              <w:rPr>
                <w:rFonts w:hint="eastAsia" w:ascii="宋体" w:hAnsi="宋体" w:cs="宋体"/>
                <w:kern w:val="0"/>
                <w:sz w:val="21"/>
                <w:szCs w:val="21"/>
              </w:rPr>
              <w:t>数据归集与上报对接服务，数据标准差异分析：对照总局下发的新版数据汇总结构规范，开展省级现有数据项与总局要求之间的比对分析，识别需补充或调整的信息字段。</w:t>
            </w:r>
          </w:p>
        </w:tc>
        <w:tc>
          <w:tcPr>
            <w:tcW w:w="1418" w:type="dxa"/>
            <w:vMerge w:val="continue"/>
            <w:tcBorders>
              <w:top w:val="single" w:color="auto" w:sz="4" w:space="0"/>
              <w:left w:val="single" w:color="auto" w:sz="4" w:space="0"/>
              <w:bottom w:val="nil"/>
              <w:right w:val="double" w:color="auto" w:sz="4" w:space="0"/>
            </w:tcBorders>
            <w:vAlign w:val="center"/>
          </w:tcPr>
          <w:p w14:paraId="3C395BAD">
            <w:pPr>
              <w:widowControl/>
              <w:jc w:val="left"/>
              <w:rPr>
                <w:rFonts w:ascii="宋体" w:hAnsi="宋体" w:cs="宋体"/>
                <w:kern w:val="0"/>
                <w:sz w:val="21"/>
                <w:szCs w:val="21"/>
              </w:rPr>
            </w:pPr>
          </w:p>
        </w:tc>
      </w:tr>
      <w:tr w14:paraId="10FAF23F">
        <w:tblPrEx>
          <w:tblCellMar>
            <w:top w:w="0" w:type="dxa"/>
            <w:left w:w="108" w:type="dxa"/>
            <w:bottom w:w="0" w:type="dxa"/>
            <w:right w:w="108" w:type="dxa"/>
          </w:tblCellMar>
        </w:tblPrEx>
        <w:trPr>
          <w:trHeight w:val="280" w:hRule="atLeast"/>
        </w:trPr>
        <w:tc>
          <w:tcPr>
            <w:tcW w:w="6794" w:type="dxa"/>
            <w:gridSpan w:val="3"/>
            <w:tcBorders>
              <w:top w:val="single" w:color="auto" w:sz="4" w:space="0"/>
              <w:left w:val="double" w:color="auto" w:sz="4" w:space="0"/>
              <w:bottom w:val="double" w:color="auto" w:sz="4" w:space="0"/>
              <w:right w:val="single" w:color="auto" w:sz="4" w:space="0"/>
            </w:tcBorders>
            <w:shd w:val="clear" w:color="000000" w:fill="D9D9D9"/>
            <w:noWrap/>
            <w:vAlign w:val="center"/>
          </w:tcPr>
          <w:p w14:paraId="0067DEF9">
            <w:pPr>
              <w:widowControl/>
              <w:jc w:val="center"/>
              <w:rPr>
                <w:rFonts w:ascii="宋体" w:hAnsi="宋体" w:cs="宋体"/>
                <w:b/>
                <w:bCs/>
                <w:kern w:val="0"/>
                <w:sz w:val="21"/>
                <w:szCs w:val="21"/>
              </w:rPr>
            </w:pPr>
            <w:r>
              <w:rPr>
                <w:rFonts w:hint="eastAsia" w:ascii="宋体" w:hAnsi="宋体" w:cs="宋体"/>
                <w:b/>
                <w:bCs/>
                <w:kern w:val="0"/>
                <w:sz w:val="21"/>
                <w:szCs w:val="21"/>
              </w:rPr>
              <w:t>合计</w:t>
            </w:r>
          </w:p>
        </w:tc>
        <w:tc>
          <w:tcPr>
            <w:tcW w:w="1418" w:type="dxa"/>
            <w:tcBorders>
              <w:top w:val="single" w:color="auto" w:sz="4" w:space="0"/>
              <w:left w:val="nil"/>
              <w:bottom w:val="double" w:color="auto" w:sz="4" w:space="0"/>
              <w:right w:val="double" w:color="auto" w:sz="4" w:space="0"/>
            </w:tcBorders>
            <w:shd w:val="clear" w:color="auto" w:fill="auto"/>
            <w:noWrap/>
            <w:vAlign w:val="center"/>
          </w:tcPr>
          <w:p w14:paraId="0C6FE915">
            <w:pPr>
              <w:widowControl/>
              <w:jc w:val="center"/>
              <w:rPr>
                <w:rFonts w:ascii="宋体" w:hAnsi="宋体" w:cs="宋体"/>
                <w:b/>
                <w:bCs/>
                <w:kern w:val="0"/>
                <w:sz w:val="21"/>
                <w:szCs w:val="21"/>
              </w:rPr>
            </w:pPr>
          </w:p>
        </w:tc>
      </w:tr>
    </w:tbl>
    <w:p w14:paraId="1DA22FDB"/>
    <w:p w14:paraId="6CBB5402">
      <w:pPr>
        <w:widowControl/>
        <w:jc w:val="left"/>
        <w:rPr>
          <w:rFonts w:ascii="黑体" w:hAnsi="黑体" w:eastAsia="黑体" w:cstheme="minorBidi"/>
          <w:b/>
          <w:bCs/>
          <w:kern w:val="44"/>
          <w:sz w:val="32"/>
          <w:szCs w:val="32"/>
        </w:rPr>
      </w:pPr>
      <w:r>
        <w:br w:type="page"/>
      </w:r>
    </w:p>
    <w:p w14:paraId="049FDDDC">
      <w:pPr>
        <w:pStyle w:val="2"/>
        <w:numPr>
          <w:ilvl w:val="0"/>
          <w:numId w:val="0"/>
        </w:numPr>
      </w:pPr>
      <w:r>
        <w:rPr>
          <w:rFonts w:hint="eastAsia"/>
        </w:rPr>
        <w:t>三、汇总报价</w:t>
      </w:r>
    </w:p>
    <w:tbl>
      <w:tblPr>
        <w:tblStyle w:val="8"/>
        <w:tblW w:w="8561" w:type="dxa"/>
        <w:tblInd w:w="-23" w:type="dxa"/>
        <w:tblLayout w:type="autofit"/>
        <w:tblCellMar>
          <w:top w:w="0" w:type="dxa"/>
          <w:left w:w="108" w:type="dxa"/>
          <w:bottom w:w="0" w:type="dxa"/>
          <w:right w:w="108" w:type="dxa"/>
        </w:tblCellMar>
      </w:tblPr>
      <w:tblGrid>
        <w:gridCol w:w="1000"/>
        <w:gridCol w:w="3820"/>
        <w:gridCol w:w="1701"/>
        <w:gridCol w:w="2040"/>
      </w:tblGrid>
      <w:tr w14:paraId="79C60C5B">
        <w:tblPrEx>
          <w:tblCellMar>
            <w:top w:w="0" w:type="dxa"/>
            <w:left w:w="108" w:type="dxa"/>
            <w:bottom w:w="0" w:type="dxa"/>
            <w:right w:w="108" w:type="dxa"/>
          </w:tblCellMar>
        </w:tblPrEx>
        <w:trPr>
          <w:trHeight w:val="454" w:hRule="atLeast"/>
        </w:trPr>
        <w:tc>
          <w:tcPr>
            <w:tcW w:w="1000" w:type="dxa"/>
            <w:tcBorders>
              <w:top w:val="double" w:color="auto" w:sz="6" w:space="0"/>
              <w:left w:val="double" w:color="auto" w:sz="6" w:space="0"/>
              <w:bottom w:val="single" w:color="auto" w:sz="8" w:space="0"/>
              <w:right w:val="single" w:color="auto" w:sz="8" w:space="0"/>
            </w:tcBorders>
            <w:shd w:val="clear" w:color="auto" w:fill="auto"/>
            <w:vAlign w:val="center"/>
          </w:tcPr>
          <w:p w14:paraId="3976826D">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编号</w:t>
            </w:r>
          </w:p>
        </w:tc>
        <w:tc>
          <w:tcPr>
            <w:tcW w:w="3820" w:type="dxa"/>
            <w:tcBorders>
              <w:top w:val="double" w:color="auto" w:sz="6" w:space="0"/>
              <w:left w:val="nil"/>
              <w:bottom w:val="single" w:color="auto" w:sz="8" w:space="0"/>
              <w:right w:val="single" w:color="auto" w:sz="8" w:space="0"/>
            </w:tcBorders>
            <w:shd w:val="clear" w:color="auto" w:fill="auto"/>
            <w:vAlign w:val="center"/>
          </w:tcPr>
          <w:p w14:paraId="6D2486C7">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项目名称</w:t>
            </w:r>
          </w:p>
        </w:tc>
        <w:tc>
          <w:tcPr>
            <w:tcW w:w="1701" w:type="dxa"/>
            <w:tcBorders>
              <w:top w:val="double" w:color="auto" w:sz="6" w:space="0"/>
              <w:left w:val="nil"/>
              <w:bottom w:val="single" w:color="auto" w:sz="8" w:space="0"/>
              <w:right w:val="single" w:color="auto" w:sz="8" w:space="0"/>
            </w:tcBorders>
            <w:shd w:val="clear" w:color="auto" w:fill="auto"/>
            <w:vAlign w:val="center"/>
          </w:tcPr>
          <w:p w14:paraId="789AB413">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投资预算</w:t>
            </w:r>
          </w:p>
          <w:p w14:paraId="62EAAE95">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（万元）</w:t>
            </w:r>
          </w:p>
        </w:tc>
        <w:tc>
          <w:tcPr>
            <w:tcW w:w="2040" w:type="dxa"/>
            <w:tcBorders>
              <w:top w:val="double" w:color="auto" w:sz="6" w:space="0"/>
              <w:left w:val="nil"/>
              <w:bottom w:val="single" w:color="auto" w:sz="8" w:space="0"/>
              <w:right w:val="double" w:color="auto" w:sz="6" w:space="0"/>
            </w:tcBorders>
            <w:shd w:val="clear" w:color="auto" w:fill="auto"/>
            <w:vAlign w:val="center"/>
          </w:tcPr>
          <w:p w14:paraId="5C23F1CE">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备注</w:t>
            </w:r>
          </w:p>
        </w:tc>
      </w:tr>
      <w:tr w14:paraId="635D155D">
        <w:tblPrEx>
          <w:tblCellMar>
            <w:top w:w="0" w:type="dxa"/>
            <w:left w:w="108" w:type="dxa"/>
            <w:bottom w:w="0" w:type="dxa"/>
            <w:right w:w="108" w:type="dxa"/>
          </w:tblCellMar>
        </w:tblPrEx>
        <w:trPr>
          <w:trHeight w:val="454" w:hRule="atLeast"/>
        </w:trPr>
        <w:tc>
          <w:tcPr>
            <w:tcW w:w="1000" w:type="dxa"/>
            <w:tcBorders>
              <w:top w:val="nil"/>
              <w:left w:val="double" w:color="auto" w:sz="6" w:space="0"/>
              <w:bottom w:val="single" w:color="auto" w:sz="8" w:space="0"/>
              <w:right w:val="single" w:color="auto" w:sz="8" w:space="0"/>
            </w:tcBorders>
            <w:shd w:val="clear" w:color="auto" w:fill="auto"/>
            <w:vAlign w:val="center"/>
          </w:tcPr>
          <w:p w14:paraId="325F7B3E">
            <w:pPr>
              <w:widowControl/>
              <w:jc w:val="center"/>
              <w:rPr>
                <w:rFonts w:ascii="宋体" w:hAnsi="宋体" w:cs="宋体"/>
                <w:color w:val="000000"/>
                <w:kern w:val="0"/>
                <w:sz w:val="28"/>
                <w:szCs w:val="28"/>
              </w:rPr>
            </w:pPr>
            <w:r>
              <w:rPr>
                <w:rFonts w:hint="eastAsia" w:ascii="宋体" w:hAnsi="宋体" w:cs="宋体"/>
                <w:color w:val="000000"/>
                <w:kern w:val="0"/>
                <w:sz w:val="28"/>
                <w:szCs w:val="28"/>
              </w:rPr>
              <w:t>1</w:t>
            </w:r>
          </w:p>
        </w:tc>
        <w:tc>
          <w:tcPr>
            <w:tcW w:w="3820" w:type="dxa"/>
            <w:tcBorders>
              <w:top w:val="nil"/>
              <w:left w:val="nil"/>
              <w:bottom w:val="single" w:color="auto" w:sz="8" w:space="0"/>
              <w:right w:val="single" w:color="auto" w:sz="8" w:space="0"/>
            </w:tcBorders>
            <w:shd w:val="clear" w:color="auto" w:fill="auto"/>
            <w:vAlign w:val="center"/>
          </w:tcPr>
          <w:p w14:paraId="4C732CC3">
            <w:pPr>
              <w:widowControl/>
              <w:jc w:val="left"/>
              <w:rPr>
                <w:rFonts w:ascii="宋体" w:hAnsi="宋体" w:cs="宋体"/>
                <w:color w:val="000000"/>
                <w:kern w:val="0"/>
                <w:sz w:val="28"/>
                <w:szCs w:val="28"/>
              </w:rPr>
            </w:pPr>
            <w:r>
              <w:rPr>
                <w:rFonts w:hint="eastAsia" w:ascii="宋体" w:hAnsi="宋体" w:cs="宋体"/>
                <w:color w:val="000000"/>
                <w:kern w:val="0"/>
                <w:sz w:val="28"/>
                <w:szCs w:val="28"/>
              </w:rPr>
              <w:t>移动端营业执照扫码查询“一照多址”服务提升</w:t>
            </w:r>
          </w:p>
        </w:tc>
        <w:tc>
          <w:tcPr>
            <w:tcW w:w="1701" w:type="dxa"/>
            <w:tcBorders>
              <w:top w:val="nil"/>
              <w:left w:val="nil"/>
              <w:bottom w:val="single" w:color="auto" w:sz="8" w:space="0"/>
              <w:right w:val="single" w:color="auto" w:sz="8" w:space="0"/>
            </w:tcBorders>
            <w:shd w:val="clear" w:color="auto" w:fill="auto"/>
            <w:vAlign w:val="center"/>
          </w:tcPr>
          <w:p w14:paraId="0CBFF550">
            <w:pPr>
              <w:widowControl/>
              <w:jc w:val="right"/>
              <w:rPr>
                <w:rFonts w:ascii="宋体" w:hAnsi="宋体" w:cs="宋体"/>
                <w:color w:val="000000"/>
                <w:kern w:val="0"/>
                <w:sz w:val="28"/>
                <w:szCs w:val="28"/>
              </w:rPr>
            </w:pPr>
          </w:p>
        </w:tc>
        <w:tc>
          <w:tcPr>
            <w:tcW w:w="2040" w:type="dxa"/>
            <w:tcBorders>
              <w:top w:val="nil"/>
              <w:left w:val="nil"/>
              <w:bottom w:val="single" w:color="auto" w:sz="8" w:space="0"/>
              <w:right w:val="double" w:color="auto" w:sz="6" w:space="0"/>
            </w:tcBorders>
            <w:shd w:val="clear" w:color="auto" w:fill="auto"/>
            <w:noWrap/>
            <w:vAlign w:val="center"/>
          </w:tcPr>
          <w:p w14:paraId="56652946">
            <w:pPr>
              <w:widowControl/>
              <w:jc w:val="left"/>
              <w:rPr>
                <w:rFonts w:ascii="宋体" w:hAnsi="宋体" w:cs="宋体"/>
                <w:color w:val="000000"/>
                <w:kern w:val="0"/>
                <w:sz w:val="28"/>
                <w:szCs w:val="28"/>
              </w:rPr>
            </w:pPr>
            <w:r>
              <w:rPr>
                <w:rFonts w:hint="eastAsia" w:ascii="宋体" w:hAnsi="宋体" w:cs="宋体"/>
                <w:color w:val="000000"/>
                <w:kern w:val="0"/>
                <w:sz w:val="28"/>
                <w:szCs w:val="28"/>
              </w:rPr>
              <w:t>　</w:t>
            </w:r>
          </w:p>
        </w:tc>
      </w:tr>
      <w:tr w14:paraId="417AF557">
        <w:tblPrEx>
          <w:tblCellMar>
            <w:top w:w="0" w:type="dxa"/>
            <w:left w:w="108" w:type="dxa"/>
            <w:bottom w:w="0" w:type="dxa"/>
            <w:right w:w="108" w:type="dxa"/>
          </w:tblCellMar>
        </w:tblPrEx>
        <w:trPr>
          <w:trHeight w:val="454" w:hRule="atLeast"/>
        </w:trPr>
        <w:tc>
          <w:tcPr>
            <w:tcW w:w="1000" w:type="dxa"/>
            <w:tcBorders>
              <w:top w:val="nil"/>
              <w:left w:val="double" w:color="auto" w:sz="6" w:space="0"/>
              <w:bottom w:val="single" w:color="auto" w:sz="8" w:space="0"/>
              <w:right w:val="single" w:color="auto" w:sz="8" w:space="0"/>
            </w:tcBorders>
            <w:shd w:val="clear" w:color="auto" w:fill="auto"/>
            <w:vAlign w:val="center"/>
          </w:tcPr>
          <w:p w14:paraId="2BDDAA60">
            <w:pPr>
              <w:widowControl/>
              <w:jc w:val="center"/>
              <w:rPr>
                <w:rFonts w:ascii="宋体" w:hAnsi="宋体" w:cs="宋体"/>
                <w:color w:val="000000"/>
                <w:kern w:val="0"/>
                <w:sz w:val="28"/>
                <w:szCs w:val="28"/>
              </w:rPr>
            </w:pPr>
            <w:r>
              <w:rPr>
                <w:rFonts w:hint="eastAsia" w:ascii="宋体" w:hAnsi="宋体" w:cs="宋体"/>
                <w:color w:val="000000"/>
                <w:kern w:val="0"/>
                <w:sz w:val="28"/>
                <w:szCs w:val="28"/>
              </w:rPr>
              <w:t>2</w:t>
            </w:r>
          </w:p>
        </w:tc>
        <w:tc>
          <w:tcPr>
            <w:tcW w:w="3820" w:type="dxa"/>
            <w:tcBorders>
              <w:top w:val="nil"/>
              <w:left w:val="nil"/>
              <w:bottom w:val="single" w:color="auto" w:sz="8" w:space="0"/>
              <w:right w:val="single" w:color="auto" w:sz="8" w:space="0"/>
            </w:tcBorders>
            <w:shd w:val="clear" w:color="000000" w:fill="FFFFFF"/>
            <w:vAlign w:val="center"/>
          </w:tcPr>
          <w:p w14:paraId="10613787">
            <w:pPr>
              <w:widowControl/>
              <w:jc w:val="left"/>
              <w:rPr>
                <w:rFonts w:ascii="宋体" w:hAnsi="宋体" w:cs="宋体"/>
                <w:color w:val="000000"/>
                <w:kern w:val="0"/>
                <w:sz w:val="28"/>
                <w:szCs w:val="28"/>
              </w:rPr>
            </w:pPr>
            <w:r>
              <w:rPr>
                <w:rFonts w:hint="eastAsia" w:ascii="宋体" w:hAnsi="宋体" w:cs="宋体"/>
                <w:color w:val="000000"/>
                <w:kern w:val="0"/>
                <w:sz w:val="28"/>
                <w:szCs w:val="28"/>
              </w:rPr>
              <w:t>个人独资企业转型为公司、合伙企业的服务支持</w:t>
            </w:r>
          </w:p>
        </w:tc>
        <w:tc>
          <w:tcPr>
            <w:tcW w:w="1701" w:type="dxa"/>
            <w:tcBorders>
              <w:top w:val="nil"/>
              <w:left w:val="nil"/>
              <w:bottom w:val="single" w:color="auto" w:sz="8" w:space="0"/>
              <w:right w:val="single" w:color="auto" w:sz="8" w:space="0"/>
            </w:tcBorders>
            <w:shd w:val="clear" w:color="000000" w:fill="FFFFFF"/>
            <w:vAlign w:val="center"/>
          </w:tcPr>
          <w:p w14:paraId="4076CD6C">
            <w:pPr>
              <w:widowControl/>
              <w:jc w:val="right"/>
              <w:rPr>
                <w:rFonts w:ascii="宋体" w:hAnsi="宋体" w:cs="宋体"/>
                <w:color w:val="000000"/>
                <w:kern w:val="0"/>
                <w:sz w:val="28"/>
                <w:szCs w:val="28"/>
              </w:rPr>
            </w:pPr>
          </w:p>
        </w:tc>
        <w:tc>
          <w:tcPr>
            <w:tcW w:w="2040" w:type="dxa"/>
            <w:tcBorders>
              <w:top w:val="nil"/>
              <w:left w:val="nil"/>
              <w:bottom w:val="single" w:color="auto" w:sz="8" w:space="0"/>
              <w:right w:val="double" w:color="auto" w:sz="6" w:space="0"/>
            </w:tcBorders>
            <w:shd w:val="clear" w:color="000000" w:fill="FFFFFF"/>
            <w:vAlign w:val="center"/>
          </w:tcPr>
          <w:p w14:paraId="7A270AE2">
            <w:pPr>
              <w:widowControl/>
              <w:jc w:val="left"/>
              <w:rPr>
                <w:rFonts w:ascii="宋体" w:hAnsi="宋体" w:cs="宋体"/>
                <w:color w:val="000000"/>
                <w:kern w:val="0"/>
                <w:sz w:val="28"/>
                <w:szCs w:val="28"/>
              </w:rPr>
            </w:pPr>
            <w:r>
              <w:rPr>
                <w:rFonts w:hint="eastAsia" w:ascii="宋体" w:hAnsi="宋体" w:cs="宋体"/>
                <w:color w:val="000000"/>
                <w:kern w:val="0"/>
                <w:sz w:val="28"/>
                <w:szCs w:val="28"/>
              </w:rPr>
              <w:t>　</w:t>
            </w:r>
          </w:p>
        </w:tc>
      </w:tr>
      <w:tr w14:paraId="760919BA">
        <w:tblPrEx>
          <w:tblCellMar>
            <w:top w:w="0" w:type="dxa"/>
            <w:left w:w="108" w:type="dxa"/>
            <w:bottom w:w="0" w:type="dxa"/>
            <w:right w:w="108" w:type="dxa"/>
          </w:tblCellMar>
        </w:tblPrEx>
        <w:trPr>
          <w:trHeight w:val="454" w:hRule="atLeast"/>
        </w:trPr>
        <w:tc>
          <w:tcPr>
            <w:tcW w:w="1000" w:type="dxa"/>
            <w:tcBorders>
              <w:top w:val="nil"/>
              <w:left w:val="double" w:color="auto" w:sz="6" w:space="0"/>
              <w:bottom w:val="single" w:color="auto" w:sz="8" w:space="0"/>
              <w:right w:val="single" w:color="auto" w:sz="8" w:space="0"/>
            </w:tcBorders>
            <w:shd w:val="clear" w:color="auto" w:fill="auto"/>
            <w:vAlign w:val="center"/>
          </w:tcPr>
          <w:p w14:paraId="01E74332">
            <w:pPr>
              <w:widowControl/>
              <w:jc w:val="center"/>
              <w:rPr>
                <w:rFonts w:ascii="宋体" w:hAnsi="宋体" w:cs="宋体"/>
                <w:color w:val="000000"/>
                <w:kern w:val="0"/>
                <w:sz w:val="28"/>
                <w:szCs w:val="28"/>
              </w:rPr>
            </w:pPr>
            <w:r>
              <w:rPr>
                <w:rFonts w:hint="eastAsia" w:ascii="宋体" w:hAnsi="宋体" w:cs="宋体"/>
                <w:color w:val="000000"/>
                <w:kern w:val="0"/>
                <w:sz w:val="28"/>
                <w:szCs w:val="28"/>
              </w:rPr>
              <w:t>3</w:t>
            </w:r>
          </w:p>
        </w:tc>
        <w:tc>
          <w:tcPr>
            <w:tcW w:w="3820" w:type="dxa"/>
            <w:tcBorders>
              <w:top w:val="nil"/>
              <w:left w:val="nil"/>
              <w:bottom w:val="single" w:color="auto" w:sz="8" w:space="0"/>
              <w:right w:val="single" w:color="auto" w:sz="8" w:space="0"/>
            </w:tcBorders>
            <w:shd w:val="clear" w:color="auto" w:fill="auto"/>
            <w:vAlign w:val="center"/>
          </w:tcPr>
          <w:p w14:paraId="0CF999CA">
            <w:pPr>
              <w:widowControl/>
              <w:jc w:val="left"/>
              <w:rPr>
                <w:rFonts w:ascii="宋体" w:hAnsi="宋体" w:cs="宋体"/>
                <w:color w:val="000000"/>
                <w:kern w:val="0"/>
                <w:sz w:val="28"/>
                <w:szCs w:val="28"/>
              </w:rPr>
            </w:pPr>
            <w:r>
              <w:rPr>
                <w:rFonts w:hint="eastAsia" w:ascii="宋体" w:hAnsi="宋体" w:cs="宋体"/>
                <w:color w:val="000000"/>
                <w:kern w:val="0"/>
                <w:sz w:val="28"/>
                <w:szCs w:val="28"/>
              </w:rPr>
              <w:t>“市场监管部门迁移清册”服务提升</w:t>
            </w:r>
          </w:p>
        </w:tc>
        <w:tc>
          <w:tcPr>
            <w:tcW w:w="1701" w:type="dxa"/>
            <w:tcBorders>
              <w:top w:val="nil"/>
              <w:left w:val="nil"/>
              <w:bottom w:val="single" w:color="auto" w:sz="8" w:space="0"/>
              <w:right w:val="single" w:color="auto" w:sz="8" w:space="0"/>
            </w:tcBorders>
            <w:shd w:val="clear" w:color="auto" w:fill="auto"/>
            <w:vAlign w:val="center"/>
          </w:tcPr>
          <w:p w14:paraId="0C8D637C">
            <w:pPr>
              <w:widowControl/>
              <w:jc w:val="right"/>
              <w:rPr>
                <w:rFonts w:ascii="宋体" w:hAnsi="宋体" w:cs="宋体"/>
                <w:color w:val="000000"/>
                <w:kern w:val="0"/>
                <w:sz w:val="28"/>
                <w:szCs w:val="28"/>
              </w:rPr>
            </w:pPr>
          </w:p>
        </w:tc>
        <w:tc>
          <w:tcPr>
            <w:tcW w:w="2040" w:type="dxa"/>
            <w:tcBorders>
              <w:top w:val="nil"/>
              <w:left w:val="nil"/>
              <w:bottom w:val="single" w:color="auto" w:sz="8" w:space="0"/>
              <w:right w:val="double" w:color="auto" w:sz="6" w:space="0"/>
            </w:tcBorders>
            <w:shd w:val="clear" w:color="auto" w:fill="auto"/>
            <w:noWrap/>
            <w:vAlign w:val="center"/>
          </w:tcPr>
          <w:p w14:paraId="295379CC">
            <w:pPr>
              <w:widowControl/>
              <w:jc w:val="left"/>
              <w:rPr>
                <w:rFonts w:ascii="宋体" w:hAnsi="宋体" w:cs="宋体"/>
                <w:color w:val="000000"/>
                <w:kern w:val="0"/>
                <w:sz w:val="28"/>
                <w:szCs w:val="28"/>
              </w:rPr>
            </w:pPr>
            <w:r>
              <w:rPr>
                <w:rFonts w:hint="eastAsia" w:ascii="宋体" w:hAnsi="宋体" w:cs="宋体"/>
                <w:color w:val="000000"/>
                <w:kern w:val="0"/>
                <w:sz w:val="28"/>
                <w:szCs w:val="28"/>
              </w:rPr>
              <w:t>　</w:t>
            </w:r>
          </w:p>
        </w:tc>
      </w:tr>
      <w:tr w14:paraId="1149EE7E">
        <w:tblPrEx>
          <w:tblCellMar>
            <w:top w:w="0" w:type="dxa"/>
            <w:left w:w="108" w:type="dxa"/>
            <w:bottom w:w="0" w:type="dxa"/>
            <w:right w:w="108" w:type="dxa"/>
          </w:tblCellMar>
        </w:tblPrEx>
        <w:trPr>
          <w:trHeight w:val="454" w:hRule="atLeast"/>
        </w:trPr>
        <w:tc>
          <w:tcPr>
            <w:tcW w:w="1000" w:type="dxa"/>
            <w:tcBorders>
              <w:top w:val="nil"/>
              <w:left w:val="double" w:color="auto" w:sz="6" w:space="0"/>
              <w:bottom w:val="single" w:color="auto" w:sz="8" w:space="0"/>
              <w:right w:val="single" w:color="auto" w:sz="8" w:space="0"/>
            </w:tcBorders>
            <w:shd w:val="clear" w:color="auto" w:fill="auto"/>
            <w:vAlign w:val="center"/>
          </w:tcPr>
          <w:p w14:paraId="746A71E2">
            <w:pPr>
              <w:widowControl/>
              <w:jc w:val="center"/>
              <w:rPr>
                <w:rFonts w:ascii="宋体" w:hAnsi="宋体" w:cs="宋体"/>
                <w:color w:val="000000"/>
                <w:kern w:val="0"/>
                <w:sz w:val="28"/>
                <w:szCs w:val="28"/>
              </w:rPr>
            </w:pPr>
            <w:r>
              <w:rPr>
                <w:rFonts w:hint="eastAsia" w:ascii="宋体" w:hAnsi="宋体" w:cs="宋体"/>
                <w:color w:val="000000"/>
                <w:kern w:val="0"/>
                <w:sz w:val="28"/>
                <w:szCs w:val="28"/>
              </w:rPr>
              <w:t>4</w:t>
            </w:r>
          </w:p>
        </w:tc>
        <w:tc>
          <w:tcPr>
            <w:tcW w:w="3820" w:type="dxa"/>
            <w:tcBorders>
              <w:top w:val="nil"/>
              <w:left w:val="nil"/>
              <w:bottom w:val="single" w:color="auto" w:sz="8" w:space="0"/>
              <w:right w:val="single" w:color="auto" w:sz="8" w:space="0"/>
            </w:tcBorders>
            <w:shd w:val="clear" w:color="auto" w:fill="auto"/>
            <w:vAlign w:val="center"/>
          </w:tcPr>
          <w:p w14:paraId="41FE693B">
            <w:pPr>
              <w:widowControl/>
              <w:jc w:val="left"/>
              <w:rPr>
                <w:rFonts w:ascii="宋体" w:hAnsi="宋体" w:cs="宋体"/>
                <w:color w:val="000000"/>
                <w:kern w:val="0"/>
                <w:sz w:val="28"/>
                <w:szCs w:val="28"/>
              </w:rPr>
            </w:pPr>
            <w:r>
              <w:rPr>
                <w:rFonts w:hint="eastAsia" w:ascii="宋体" w:hAnsi="宋体" w:cs="宋体"/>
                <w:color w:val="000000"/>
                <w:kern w:val="0"/>
                <w:sz w:val="28"/>
                <w:szCs w:val="28"/>
              </w:rPr>
              <w:t>《个体工商户登记管理规定》相关服务提升</w:t>
            </w:r>
          </w:p>
        </w:tc>
        <w:tc>
          <w:tcPr>
            <w:tcW w:w="1701" w:type="dxa"/>
            <w:tcBorders>
              <w:top w:val="nil"/>
              <w:left w:val="nil"/>
              <w:bottom w:val="single" w:color="auto" w:sz="8" w:space="0"/>
              <w:right w:val="single" w:color="auto" w:sz="8" w:space="0"/>
            </w:tcBorders>
            <w:shd w:val="clear" w:color="auto" w:fill="auto"/>
            <w:vAlign w:val="center"/>
          </w:tcPr>
          <w:p w14:paraId="6F7B2127">
            <w:pPr>
              <w:widowControl/>
              <w:jc w:val="right"/>
              <w:rPr>
                <w:rFonts w:ascii="宋体" w:hAnsi="宋体" w:cs="宋体"/>
                <w:color w:val="000000"/>
                <w:kern w:val="0"/>
                <w:sz w:val="28"/>
                <w:szCs w:val="28"/>
              </w:rPr>
            </w:pPr>
          </w:p>
        </w:tc>
        <w:tc>
          <w:tcPr>
            <w:tcW w:w="2040" w:type="dxa"/>
            <w:tcBorders>
              <w:top w:val="nil"/>
              <w:left w:val="nil"/>
              <w:bottom w:val="single" w:color="auto" w:sz="8" w:space="0"/>
              <w:right w:val="double" w:color="auto" w:sz="6" w:space="0"/>
            </w:tcBorders>
            <w:shd w:val="clear" w:color="auto" w:fill="auto"/>
            <w:noWrap/>
            <w:vAlign w:val="center"/>
          </w:tcPr>
          <w:p w14:paraId="37AA15D2">
            <w:pPr>
              <w:widowControl/>
              <w:jc w:val="left"/>
              <w:rPr>
                <w:rFonts w:ascii="宋体" w:hAnsi="宋体" w:cs="宋体"/>
                <w:b/>
                <w:bCs/>
                <w:color w:val="000000"/>
                <w:kern w:val="0"/>
                <w:sz w:val="28"/>
                <w:szCs w:val="28"/>
              </w:rPr>
            </w:pPr>
            <w:r>
              <w:rPr>
                <w:rFonts w:hint="eastAsia" w:ascii="宋体" w:hAnsi="宋体" w:cs="宋体"/>
                <w:b/>
                <w:bCs/>
                <w:color w:val="000000"/>
                <w:kern w:val="0"/>
                <w:sz w:val="28"/>
                <w:szCs w:val="28"/>
              </w:rPr>
              <w:t>　</w:t>
            </w:r>
          </w:p>
        </w:tc>
      </w:tr>
      <w:tr w14:paraId="68FE01C8">
        <w:tblPrEx>
          <w:tblCellMar>
            <w:top w:w="0" w:type="dxa"/>
            <w:left w:w="108" w:type="dxa"/>
            <w:bottom w:w="0" w:type="dxa"/>
            <w:right w:w="108" w:type="dxa"/>
          </w:tblCellMar>
        </w:tblPrEx>
        <w:trPr>
          <w:trHeight w:val="454" w:hRule="atLeast"/>
        </w:trPr>
        <w:tc>
          <w:tcPr>
            <w:tcW w:w="1000" w:type="dxa"/>
            <w:tcBorders>
              <w:top w:val="nil"/>
              <w:left w:val="double" w:color="auto" w:sz="6" w:space="0"/>
              <w:bottom w:val="single" w:color="auto" w:sz="8" w:space="0"/>
              <w:right w:val="single" w:color="auto" w:sz="8" w:space="0"/>
            </w:tcBorders>
            <w:shd w:val="clear" w:color="auto" w:fill="auto"/>
            <w:vAlign w:val="center"/>
          </w:tcPr>
          <w:p w14:paraId="667AAEC6">
            <w:pPr>
              <w:widowControl/>
              <w:jc w:val="center"/>
              <w:rPr>
                <w:rFonts w:ascii="宋体" w:hAnsi="宋体" w:cs="宋体"/>
                <w:color w:val="000000"/>
                <w:kern w:val="0"/>
                <w:sz w:val="28"/>
                <w:szCs w:val="28"/>
              </w:rPr>
            </w:pPr>
            <w:r>
              <w:rPr>
                <w:rFonts w:hint="eastAsia" w:ascii="宋体" w:hAnsi="宋体" w:cs="宋体"/>
                <w:color w:val="000000"/>
                <w:kern w:val="0"/>
                <w:sz w:val="28"/>
                <w:szCs w:val="28"/>
              </w:rPr>
              <w:t>5</w:t>
            </w:r>
          </w:p>
        </w:tc>
        <w:tc>
          <w:tcPr>
            <w:tcW w:w="3820" w:type="dxa"/>
            <w:tcBorders>
              <w:top w:val="nil"/>
              <w:left w:val="nil"/>
              <w:bottom w:val="single" w:color="auto" w:sz="8" w:space="0"/>
              <w:right w:val="single" w:color="auto" w:sz="8" w:space="0"/>
            </w:tcBorders>
            <w:shd w:val="clear" w:color="auto" w:fill="auto"/>
            <w:vAlign w:val="center"/>
          </w:tcPr>
          <w:p w14:paraId="712B5EAC">
            <w:pPr>
              <w:widowControl/>
              <w:jc w:val="left"/>
              <w:rPr>
                <w:rFonts w:ascii="宋体" w:hAnsi="宋体" w:cs="宋体"/>
                <w:color w:val="000000"/>
                <w:kern w:val="0"/>
                <w:sz w:val="28"/>
                <w:szCs w:val="28"/>
              </w:rPr>
            </w:pPr>
            <w:r>
              <w:rPr>
                <w:rFonts w:hint="eastAsia" w:ascii="宋体" w:hAnsi="宋体" w:cs="宋体"/>
                <w:color w:val="000000"/>
                <w:kern w:val="0"/>
                <w:sz w:val="28"/>
                <w:szCs w:val="28"/>
              </w:rPr>
              <w:t>企业跨省迁移服务</w:t>
            </w:r>
          </w:p>
        </w:tc>
        <w:tc>
          <w:tcPr>
            <w:tcW w:w="1701" w:type="dxa"/>
            <w:tcBorders>
              <w:top w:val="nil"/>
              <w:left w:val="nil"/>
              <w:bottom w:val="single" w:color="auto" w:sz="8" w:space="0"/>
              <w:right w:val="single" w:color="auto" w:sz="8" w:space="0"/>
            </w:tcBorders>
            <w:shd w:val="clear" w:color="auto" w:fill="auto"/>
            <w:vAlign w:val="center"/>
          </w:tcPr>
          <w:p w14:paraId="3CA36051">
            <w:pPr>
              <w:widowControl/>
              <w:jc w:val="right"/>
              <w:rPr>
                <w:rFonts w:ascii="宋体" w:hAnsi="宋体" w:cs="宋体"/>
                <w:color w:val="000000"/>
                <w:kern w:val="0"/>
                <w:sz w:val="28"/>
                <w:szCs w:val="28"/>
              </w:rPr>
            </w:pPr>
          </w:p>
        </w:tc>
        <w:tc>
          <w:tcPr>
            <w:tcW w:w="2040" w:type="dxa"/>
            <w:tcBorders>
              <w:top w:val="nil"/>
              <w:left w:val="nil"/>
              <w:bottom w:val="single" w:color="auto" w:sz="8" w:space="0"/>
              <w:right w:val="double" w:color="auto" w:sz="6" w:space="0"/>
            </w:tcBorders>
            <w:shd w:val="clear" w:color="auto" w:fill="auto"/>
            <w:noWrap/>
            <w:vAlign w:val="center"/>
          </w:tcPr>
          <w:p w14:paraId="5DF07D7B">
            <w:pPr>
              <w:widowControl/>
              <w:jc w:val="left"/>
              <w:rPr>
                <w:rFonts w:ascii="宋体" w:hAnsi="宋体" w:cs="宋体"/>
                <w:color w:val="000000"/>
                <w:kern w:val="0"/>
                <w:sz w:val="28"/>
                <w:szCs w:val="28"/>
              </w:rPr>
            </w:pPr>
            <w:r>
              <w:rPr>
                <w:rFonts w:hint="eastAsia" w:ascii="宋体" w:hAnsi="宋体" w:cs="宋体"/>
                <w:color w:val="000000"/>
                <w:kern w:val="0"/>
                <w:sz w:val="28"/>
                <w:szCs w:val="28"/>
              </w:rPr>
              <w:t>　</w:t>
            </w:r>
          </w:p>
        </w:tc>
      </w:tr>
      <w:tr w14:paraId="43244B44">
        <w:tblPrEx>
          <w:tblCellMar>
            <w:top w:w="0" w:type="dxa"/>
            <w:left w:w="108" w:type="dxa"/>
            <w:bottom w:w="0" w:type="dxa"/>
            <w:right w:w="108" w:type="dxa"/>
          </w:tblCellMar>
        </w:tblPrEx>
        <w:trPr>
          <w:trHeight w:val="454" w:hRule="atLeast"/>
        </w:trPr>
        <w:tc>
          <w:tcPr>
            <w:tcW w:w="1000" w:type="dxa"/>
            <w:tcBorders>
              <w:top w:val="nil"/>
              <w:left w:val="double" w:color="auto" w:sz="6" w:space="0"/>
              <w:bottom w:val="single" w:color="auto" w:sz="8" w:space="0"/>
              <w:right w:val="single" w:color="auto" w:sz="8" w:space="0"/>
            </w:tcBorders>
            <w:shd w:val="clear" w:color="auto" w:fill="auto"/>
            <w:vAlign w:val="center"/>
          </w:tcPr>
          <w:p w14:paraId="301FC773">
            <w:pPr>
              <w:widowControl/>
              <w:jc w:val="center"/>
              <w:rPr>
                <w:rFonts w:ascii="宋体" w:hAnsi="宋体" w:cs="宋体"/>
                <w:color w:val="000000"/>
                <w:kern w:val="0"/>
                <w:sz w:val="28"/>
                <w:szCs w:val="28"/>
              </w:rPr>
            </w:pPr>
            <w:r>
              <w:rPr>
                <w:rFonts w:hint="eastAsia" w:ascii="宋体" w:hAnsi="宋体" w:cs="宋体"/>
                <w:color w:val="000000"/>
                <w:kern w:val="0"/>
                <w:sz w:val="28"/>
                <w:szCs w:val="28"/>
              </w:rPr>
              <w:t>6</w:t>
            </w:r>
          </w:p>
        </w:tc>
        <w:tc>
          <w:tcPr>
            <w:tcW w:w="3820" w:type="dxa"/>
            <w:tcBorders>
              <w:top w:val="nil"/>
              <w:left w:val="nil"/>
              <w:bottom w:val="single" w:color="auto" w:sz="8" w:space="0"/>
              <w:right w:val="single" w:color="auto" w:sz="8" w:space="0"/>
            </w:tcBorders>
            <w:shd w:val="clear" w:color="000000" w:fill="FFFFFF"/>
            <w:vAlign w:val="center"/>
          </w:tcPr>
          <w:p w14:paraId="47A71129">
            <w:pPr>
              <w:widowControl/>
              <w:jc w:val="left"/>
              <w:rPr>
                <w:rFonts w:ascii="宋体" w:hAnsi="宋体" w:cs="宋体"/>
                <w:color w:val="000000"/>
                <w:kern w:val="0"/>
                <w:sz w:val="28"/>
                <w:szCs w:val="28"/>
              </w:rPr>
            </w:pPr>
            <w:r>
              <w:rPr>
                <w:rFonts w:hint="eastAsia" w:ascii="宋体" w:hAnsi="宋体" w:cs="宋体"/>
                <w:color w:val="000000"/>
                <w:kern w:val="0"/>
                <w:sz w:val="28"/>
                <w:szCs w:val="28"/>
              </w:rPr>
              <w:t>登记黑名单管理服务</w:t>
            </w:r>
          </w:p>
        </w:tc>
        <w:tc>
          <w:tcPr>
            <w:tcW w:w="1701" w:type="dxa"/>
            <w:tcBorders>
              <w:top w:val="nil"/>
              <w:left w:val="nil"/>
              <w:bottom w:val="single" w:color="auto" w:sz="8" w:space="0"/>
              <w:right w:val="single" w:color="auto" w:sz="8" w:space="0"/>
            </w:tcBorders>
            <w:shd w:val="clear" w:color="auto" w:fill="auto"/>
            <w:vAlign w:val="center"/>
          </w:tcPr>
          <w:p w14:paraId="1B99DF0A">
            <w:pPr>
              <w:widowControl/>
              <w:jc w:val="right"/>
              <w:rPr>
                <w:rFonts w:ascii="宋体" w:hAnsi="宋体" w:cs="宋体"/>
                <w:color w:val="000000"/>
                <w:kern w:val="0"/>
                <w:sz w:val="28"/>
                <w:szCs w:val="28"/>
              </w:rPr>
            </w:pPr>
          </w:p>
        </w:tc>
        <w:tc>
          <w:tcPr>
            <w:tcW w:w="2040" w:type="dxa"/>
            <w:tcBorders>
              <w:top w:val="nil"/>
              <w:left w:val="nil"/>
              <w:bottom w:val="single" w:color="auto" w:sz="8" w:space="0"/>
              <w:right w:val="double" w:color="auto" w:sz="6" w:space="0"/>
            </w:tcBorders>
            <w:shd w:val="clear" w:color="auto" w:fill="auto"/>
            <w:noWrap/>
            <w:vAlign w:val="center"/>
          </w:tcPr>
          <w:p w14:paraId="28E35A28">
            <w:pPr>
              <w:widowControl/>
              <w:jc w:val="left"/>
              <w:rPr>
                <w:rFonts w:ascii="宋体" w:hAnsi="宋体" w:cs="宋体"/>
                <w:color w:val="000000"/>
                <w:kern w:val="0"/>
                <w:sz w:val="28"/>
                <w:szCs w:val="28"/>
              </w:rPr>
            </w:pPr>
            <w:r>
              <w:rPr>
                <w:rFonts w:hint="eastAsia" w:ascii="宋体" w:hAnsi="宋体" w:cs="宋体"/>
                <w:color w:val="000000"/>
                <w:kern w:val="0"/>
                <w:sz w:val="28"/>
                <w:szCs w:val="28"/>
              </w:rPr>
              <w:t>　</w:t>
            </w:r>
          </w:p>
        </w:tc>
      </w:tr>
      <w:tr w14:paraId="26D1CD07">
        <w:tblPrEx>
          <w:tblCellMar>
            <w:top w:w="0" w:type="dxa"/>
            <w:left w:w="108" w:type="dxa"/>
            <w:bottom w:w="0" w:type="dxa"/>
            <w:right w:w="108" w:type="dxa"/>
          </w:tblCellMar>
        </w:tblPrEx>
        <w:trPr>
          <w:trHeight w:val="454" w:hRule="atLeast"/>
        </w:trPr>
        <w:tc>
          <w:tcPr>
            <w:tcW w:w="1000" w:type="dxa"/>
            <w:tcBorders>
              <w:top w:val="nil"/>
              <w:left w:val="double" w:color="auto" w:sz="6" w:space="0"/>
              <w:bottom w:val="single" w:color="auto" w:sz="8" w:space="0"/>
              <w:right w:val="single" w:color="auto" w:sz="8" w:space="0"/>
            </w:tcBorders>
            <w:shd w:val="clear" w:color="auto" w:fill="auto"/>
            <w:vAlign w:val="center"/>
          </w:tcPr>
          <w:p w14:paraId="20F34063">
            <w:pPr>
              <w:widowControl/>
              <w:jc w:val="center"/>
              <w:rPr>
                <w:rFonts w:ascii="宋体" w:hAnsi="宋体" w:cs="宋体"/>
                <w:color w:val="000000"/>
                <w:kern w:val="0"/>
                <w:sz w:val="28"/>
                <w:szCs w:val="28"/>
              </w:rPr>
            </w:pPr>
            <w:r>
              <w:rPr>
                <w:rFonts w:hint="eastAsia" w:ascii="宋体" w:hAnsi="宋体" w:cs="宋体"/>
                <w:color w:val="000000"/>
                <w:kern w:val="0"/>
                <w:sz w:val="28"/>
                <w:szCs w:val="28"/>
              </w:rPr>
              <w:t>7</w:t>
            </w:r>
          </w:p>
        </w:tc>
        <w:tc>
          <w:tcPr>
            <w:tcW w:w="3820" w:type="dxa"/>
            <w:tcBorders>
              <w:top w:val="nil"/>
              <w:left w:val="nil"/>
              <w:bottom w:val="single" w:color="auto" w:sz="8" w:space="0"/>
              <w:right w:val="single" w:color="auto" w:sz="8" w:space="0"/>
            </w:tcBorders>
            <w:shd w:val="clear" w:color="auto" w:fill="auto"/>
            <w:vAlign w:val="center"/>
          </w:tcPr>
          <w:p w14:paraId="3A4B6572">
            <w:pPr>
              <w:widowControl/>
              <w:jc w:val="left"/>
              <w:rPr>
                <w:rFonts w:ascii="宋体" w:hAnsi="宋体" w:cs="宋体"/>
                <w:color w:val="000000"/>
                <w:kern w:val="0"/>
                <w:sz w:val="28"/>
                <w:szCs w:val="28"/>
              </w:rPr>
            </w:pPr>
            <w:r>
              <w:rPr>
                <w:rFonts w:hint="eastAsia" w:ascii="宋体" w:hAnsi="宋体" w:cs="宋体"/>
                <w:color w:val="000000"/>
                <w:kern w:val="0"/>
                <w:sz w:val="28"/>
                <w:szCs w:val="28"/>
              </w:rPr>
              <w:t>新增登记注册代理人信息核验服务</w:t>
            </w:r>
          </w:p>
        </w:tc>
        <w:tc>
          <w:tcPr>
            <w:tcW w:w="1701" w:type="dxa"/>
            <w:tcBorders>
              <w:top w:val="nil"/>
              <w:left w:val="nil"/>
              <w:bottom w:val="single" w:color="auto" w:sz="8" w:space="0"/>
              <w:right w:val="single" w:color="auto" w:sz="8" w:space="0"/>
            </w:tcBorders>
            <w:shd w:val="clear" w:color="auto" w:fill="auto"/>
            <w:vAlign w:val="center"/>
          </w:tcPr>
          <w:p w14:paraId="2D76A163">
            <w:pPr>
              <w:widowControl/>
              <w:jc w:val="right"/>
              <w:rPr>
                <w:rFonts w:ascii="宋体" w:hAnsi="宋体" w:cs="宋体"/>
                <w:color w:val="000000"/>
                <w:kern w:val="0"/>
                <w:sz w:val="28"/>
                <w:szCs w:val="28"/>
              </w:rPr>
            </w:pPr>
          </w:p>
        </w:tc>
        <w:tc>
          <w:tcPr>
            <w:tcW w:w="2040" w:type="dxa"/>
            <w:tcBorders>
              <w:top w:val="nil"/>
              <w:left w:val="nil"/>
              <w:bottom w:val="single" w:color="auto" w:sz="8" w:space="0"/>
              <w:right w:val="double" w:color="auto" w:sz="6" w:space="0"/>
            </w:tcBorders>
            <w:shd w:val="clear" w:color="auto" w:fill="auto"/>
            <w:noWrap/>
            <w:vAlign w:val="center"/>
          </w:tcPr>
          <w:p w14:paraId="58C4848A">
            <w:pPr>
              <w:widowControl/>
              <w:jc w:val="left"/>
              <w:rPr>
                <w:rFonts w:ascii="宋体" w:hAnsi="宋体" w:cs="宋体"/>
                <w:color w:val="000000"/>
                <w:kern w:val="0"/>
                <w:sz w:val="28"/>
                <w:szCs w:val="28"/>
              </w:rPr>
            </w:pPr>
            <w:r>
              <w:rPr>
                <w:rFonts w:hint="eastAsia" w:ascii="宋体" w:hAnsi="宋体" w:cs="宋体"/>
                <w:color w:val="000000"/>
                <w:kern w:val="0"/>
                <w:sz w:val="28"/>
                <w:szCs w:val="28"/>
              </w:rPr>
              <w:t>　</w:t>
            </w:r>
          </w:p>
        </w:tc>
      </w:tr>
      <w:tr w14:paraId="2A7B12ED">
        <w:tblPrEx>
          <w:tblCellMar>
            <w:top w:w="0" w:type="dxa"/>
            <w:left w:w="108" w:type="dxa"/>
            <w:bottom w:w="0" w:type="dxa"/>
            <w:right w:w="108" w:type="dxa"/>
          </w:tblCellMar>
        </w:tblPrEx>
        <w:trPr>
          <w:trHeight w:val="454" w:hRule="atLeast"/>
        </w:trPr>
        <w:tc>
          <w:tcPr>
            <w:tcW w:w="1000" w:type="dxa"/>
            <w:tcBorders>
              <w:top w:val="nil"/>
              <w:left w:val="double" w:color="auto" w:sz="6" w:space="0"/>
              <w:bottom w:val="single" w:color="auto" w:sz="8" w:space="0"/>
              <w:right w:val="single" w:color="auto" w:sz="8" w:space="0"/>
            </w:tcBorders>
            <w:shd w:val="clear" w:color="auto" w:fill="auto"/>
            <w:vAlign w:val="center"/>
          </w:tcPr>
          <w:p w14:paraId="468F685A">
            <w:pPr>
              <w:widowControl/>
              <w:jc w:val="center"/>
              <w:rPr>
                <w:rFonts w:ascii="宋体" w:hAnsi="宋体" w:cs="宋体"/>
                <w:color w:val="000000"/>
                <w:kern w:val="0"/>
                <w:sz w:val="28"/>
                <w:szCs w:val="28"/>
              </w:rPr>
            </w:pPr>
            <w:r>
              <w:rPr>
                <w:rFonts w:hint="eastAsia" w:ascii="宋体" w:hAnsi="宋体" w:cs="宋体"/>
                <w:color w:val="000000"/>
                <w:kern w:val="0"/>
                <w:sz w:val="28"/>
                <w:szCs w:val="28"/>
              </w:rPr>
              <w:t>8</w:t>
            </w:r>
          </w:p>
        </w:tc>
        <w:tc>
          <w:tcPr>
            <w:tcW w:w="3820" w:type="dxa"/>
            <w:tcBorders>
              <w:top w:val="nil"/>
              <w:left w:val="nil"/>
              <w:bottom w:val="nil"/>
              <w:right w:val="single" w:color="auto" w:sz="8" w:space="0"/>
            </w:tcBorders>
            <w:shd w:val="clear" w:color="auto" w:fill="auto"/>
            <w:vAlign w:val="center"/>
          </w:tcPr>
          <w:p w14:paraId="1A3CAA9B">
            <w:pPr>
              <w:widowControl/>
              <w:jc w:val="left"/>
              <w:rPr>
                <w:rFonts w:ascii="宋体" w:hAnsi="宋体" w:cs="宋体"/>
                <w:color w:val="000000"/>
                <w:kern w:val="0"/>
                <w:sz w:val="28"/>
                <w:szCs w:val="28"/>
              </w:rPr>
            </w:pPr>
            <w:r>
              <w:rPr>
                <w:rFonts w:hint="eastAsia" w:ascii="宋体" w:hAnsi="宋体" w:cs="宋体"/>
                <w:color w:val="000000"/>
                <w:kern w:val="0"/>
                <w:sz w:val="28"/>
                <w:szCs w:val="28"/>
              </w:rPr>
              <w:t>市场主体退出相关改革服务</w:t>
            </w:r>
          </w:p>
        </w:tc>
        <w:tc>
          <w:tcPr>
            <w:tcW w:w="1701" w:type="dxa"/>
            <w:tcBorders>
              <w:top w:val="nil"/>
              <w:left w:val="nil"/>
              <w:bottom w:val="nil"/>
              <w:right w:val="single" w:color="auto" w:sz="8" w:space="0"/>
            </w:tcBorders>
            <w:shd w:val="clear" w:color="auto" w:fill="auto"/>
            <w:vAlign w:val="center"/>
          </w:tcPr>
          <w:p w14:paraId="70E1436C">
            <w:pPr>
              <w:widowControl/>
              <w:jc w:val="right"/>
              <w:rPr>
                <w:rFonts w:ascii="宋体" w:hAnsi="宋体" w:cs="宋体"/>
                <w:color w:val="000000"/>
                <w:kern w:val="0"/>
                <w:sz w:val="28"/>
                <w:szCs w:val="28"/>
              </w:rPr>
            </w:pPr>
          </w:p>
        </w:tc>
        <w:tc>
          <w:tcPr>
            <w:tcW w:w="2040" w:type="dxa"/>
            <w:tcBorders>
              <w:top w:val="nil"/>
              <w:left w:val="nil"/>
              <w:bottom w:val="nil"/>
              <w:right w:val="double" w:color="auto" w:sz="6" w:space="0"/>
            </w:tcBorders>
            <w:shd w:val="clear" w:color="auto" w:fill="auto"/>
            <w:noWrap/>
            <w:vAlign w:val="center"/>
          </w:tcPr>
          <w:p w14:paraId="063C1A0E">
            <w:pPr>
              <w:widowControl/>
              <w:jc w:val="left"/>
              <w:rPr>
                <w:rFonts w:ascii="宋体" w:hAnsi="宋体" w:cs="宋体"/>
                <w:color w:val="000000"/>
                <w:kern w:val="0"/>
                <w:sz w:val="28"/>
                <w:szCs w:val="28"/>
              </w:rPr>
            </w:pPr>
            <w:r>
              <w:rPr>
                <w:rFonts w:hint="eastAsia" w:ascii="宋体" w:hAnsi="宋体" w:cs="宋体"/>
                <w:color w:val="000000"/>
                <w:kern w:val="0"/>
                <w:sz w:val="28"/>
                <w:szCs w:val="28"/>
              </w:rPr>
              <w:t>　</w:t>
            </w:r>
          </w:p>
        </w:tc>
      </w:tr>
      <w:tr w14:paraId="76EE7B01">
        <w:tblPrEx>
          <w:tblCellMar>
            <w:top w:w="0" w:type="dxa"/>
            <w:left w:w="108" w:type="dxa"/>
            <w:bottom w:w="0" w:type="dxa"/>
            <w:right w:w="108" w:type="dxa"/>
          </w:tblCellMar>
        </w:tblPrEx>
        <w:trPr>
          <w:trHeight w:val="454" w:hRule="atLeast"/>
        </w:trPr>
        <w:tc>
          <w:tcPr>
            <w:tcW w:w="1000" w:type="dxa"/>
            <w:tcBorders>
              <w:top w:val="nil"/>
              <w:left w:val="double" w:color="auto" w:sz="6" w:space="0"/>
              <w:bottom w:val="double" w:color="auto" w:sz="6" w:space="0"/>
              <w:right w:val="single" w:color="auto" w:sz="8" w:space="0"/>
            </w:tcBorders>
            <w:shd w:val="clear" w:color="auto" w:fill="auto"/>
            <w:noWrap/>
            <w:vAlign w:val="center"/>
          </w:tcPr>
          <w:p w14:paraId="2A48DB1C">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　</w:t>
            </w:r>
          </w:p>
        </w:tc>
        <w:tc>
          <w:tcPr>
            <w:tcW w:w="3820" w:type="dxa"/>
            <w:tcBorders>
              <w:top w:val="single" w:color="auto" w:sz="8" w:space="0"/>
              <w:left w:val="nil"/>
              <w:bottom w:val="double" w:color="auto" w:sz="6" w:space="0"/>
              <w:right w:val="single" w:color="auto" w:sz="8" w:space="0"/>
            </w:tcBorders>
            <w:shd w:val="clear" w:color="auto" w:fill="auto"/>
            <w:noWrap/>
            <w:vAlign w:val="center"/>
          </w:tcPr>
          <w:p w14:paraId="21EF6E21">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总　计：</w:t>
            </w:r>
          </w:p>
        </w:tc>
        <w:tc>
          <w:tcPr>
            <w:tcW w:w="1701" w:type="dxa"/>
            <w:tcBorders>
              <w:top w:val="single" w:color="auto" w:sz="8" w:space="0"/>
              <w:left w:val="nil"/>
              <w:bottom w:val="double" w:color="auto" w:sz="6" w:space="0"/>
              <w:right w:val="single" w:color="auto" w:sz="8" w:space="0"/>
            </w:tcBorders>
            <w:shd w:val="clear" w:color="auto" w:fill="auto"/>
            <w:vAlign w:val="center"/>
          </w:tcPr>
          <w:p w14:paraId="404A790F">
            <w:pPr>
              <w:widowControl/>
              <w:jc w:val="right"/>
              <w:rPr>
                <w:rFonts w:ascii="宋体" w:hAnsi="宋体" w:cs="宋体"/>
                <w:b/>
                <w:bCs/>
                <w:color w:val="000000"/>
                <w:kern w:val="0"/>
                <w:sz w:val="28"/>
                <w:szCs w:val="28"/>
              </w:rPr>
            </w:pPr>
          </w:p>
        </w:tc>
        <w:tc>
          <w:tcPr>
            <w:tcW w:w="2040" w:type="dxa"/>
            <w:tcBorders>
              <w:top w:val="single" w:color="auto" w:sz="8" w:space="0"/>
              <w:left w:val="nil"/>
              <w:bottom w:val="double" w:color="auto" w:sz="6" w:space="0"/>
              <w:right w:val="double" w:color="auto" w:sz="6" w:space="0"/>
            </w:tcBorders>
            <w:shd w:val="clear" w:color="auto" w:fill="auto"/>
            <w:vAlign w:val="center"/>
          </w:tcPr>
          <w:p w14:paraId="2A618DCB">
            <w:pPr>
              <w:widowControl/>
              <w:jc w:val="left"/>
              <w:rPr>
                <w:rFonts w:ascii="宋体" w:hAnsi="宋体" w:cs="宋体"/>
                <w:b/>
                <w:bCs/>
                <w:color w:val="000000"/>
                <w:kern w:val="0"/>
                <w:sz w:val="28"/>
                <w:szCs w:val="28"/>
              </w:rPr>
            </w:pPr>
            <w:r>
              <w:rPr>
                <w:rFonts w:hint="eastAsia" w:ascii="宋体" w:hAnsi="宋体" w:cs="宋体"/>
                <w:b/>
                <w:bCs/>
                <w:color w:val="000000"/>
                <w:kern w:val="0"/>
                <w:sz w:val="28"/>
                <w:szCs w:val="28"/>
              </w:rPr>
              <w:t>　</w:t>
            </w:r>
          </w:p>
        </w:tc>
      </w:tr>
    </w:tbl>
    <w:p w14:paraId="1923A961">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合计总价：</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元（大写）</w:t>
      </w:r>
    </w:p>
    <w:p w14:paraId="1C0A8D2C">
      <w:pPr>
        <w:spacing w:before="156" w:beforeLines="50"/>
        <w:ind w:firstLine="2240" w:firstLineChars="700"/>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元（小写）</w:t>
      </w:r>
    </w:p>
    <w:p w14:paraId="6D9973F6">
      <w:pPr>
        <w:widowControl/>
        <w:jc w:val="left"/>
        <w:rPr>
          <w:rFonts w:asciiTheme="minorHAnsi" w:hAnsiTheme="minorHAnsi" w:eastAsiaTheme="minorEastAsia" w:cstheme="minorBidi"/>
          <w:sz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0850E8"/>
    <w:multiLevelType w:val="multilevel"/>
    <w:tmpl w:val="0B0850E8"/>
    <w:lvl w:ilvl="0" w:tentative="0">
      <w:start w:val="1"/>
      <w:numFmt w:val="decimal"/>
      <w:pStyle w:val="2"/>
      <w:lvlText w:val="%1"/>
      <w:lvlJc w:val="left"/>
      <w:pPr>
        <w:ind w:left="425" w:hanging="425"/>
      </w:pPr>
    </w:lvl>
    <w:lvl w:ilvl="1" w:tentative="0">
      <w:start w:val="1"/>
      <w:numFmt w:val="decimal"/>
      <w:pStyle w:val="3"/>
      <w:lvlText w:val="%1.%2"/>
      <w:lvlJc w:val="left"/>
      <w:pPr>
        <w:ind w:left="992" w:hanging="567"/>
      </w:pPr>
    </w:lvl>
    <w:lvl w:ilvl="2" w:tentative="0">
      <w:start w:val="1"/>
      <w:numFmt w:val="decimal"/>
      <w:pStyle w:val="4"/>
      <w:lvlText w:val="%1.%2.%3"/>
      <w:lvlJc w:val="left"/>
      <w:pPr>
        <w:ind w:left="1418" w:hanging="567"/>
      </w:pPr>
    </w:lvl>
    <w:lvl w:ilvl="3" w:tentative="0">
      <w:start w:val="1"/>
      <w:numFmt w:val="decimal"/>
      <w:pStyle w:val="5"/>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
    <w:nsid w:val="145367AD"/>
    <w:multiLevelType w:val="multilevel"/>
    <w:tmpl w:val="145367AD"/>
    <w:lvl w:ilvl="0" w:tentative="0">
      <w:start w:val="1"/>
      <w:numFmt w:val="decimal"/>
      <w:lvlText w:val="%1"/>
      <w:lvlJc w:val="left"/>
      <w:pPr>
        <w:ind w:left="425" w:hanging="425"/>
      </w:pPr>
    </w:lvl>
    <w:lvl w:ilvl="1" w:tentative="0">
      <w:start w:val="1"/>
      <w:numFmt w:val="decimal"/>
      <w:lvlText w:val="%2、"/>
      <w:lvlJc w:val="left"/>
      <w:pPr>
        <w:ind w:left="992" w:hanging="567"/>
      </w:pPr>
      <w:rPr>
        <w:rFonts w:hint="eastAsia"/>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1"/>
  <w:bordersDoNotSurroundFooter w:val="1"/>
  <w:documentProtection w:enforcement="0"/>
  <w:defaultTabStop w:val="420"/>
  <w:drawingGridHorizontalSpacing w:val="241"/>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64B"/>
    <w:rsid w:val="00065BBF"/>
    <w:rsid w:val="00073930"/>
    <w:rsid w:val="0063464B"/>
    <w:rsid w:val="006428C0"/>
    <w:rsid w:val="00672B47"/>
    <w:rsid w:val="00796E83"/>
    <w:rsid w:val="00A072FD"/>
    <w:rsid w:val="00A81B6F"/>
    <w:rsid w:val="00D049E1"/>
    <w:rsid w:val="00D21963"/>
    <w:rsid w:val="18EF34C6"/>
    <w:rsid w:val="3C7B3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4"/>
      <w:szCs w:val="22"/>
      <w:lang w:val="en-US" w:eastAsia="zh-CN" w:bidi="ar-SA"/>
    </w:rPr>
  </w:style>
  <w:style w:type="paragraph" w:styleId="2">
    <w:name w:val="heading 1"/>
    <w:basedOn w:val="1"/>
    <w:next w:val="1"/>
    <w:link w:val="12"/>
    <w:qFormat/>
    <w:uiPriority w:val="9"/>
    <w:pPr>
      <w:keepNext/>
      <w:keepLines/>
      <w:numPr>
        <w:ilvl w:val="0"/>
        <w:numId w:val="1"/>
      </w:numPr>
      <w:spacing w:line="360" w:lineRule="auto"/>
      <w:outlineLvl w:val="0"/>
    </w:pPr>
    <w:rPr>
      <w:rFonts w:ascii="黑体" w:hAnsi="黑体" w:eastAsia="黑体" w:cstheme="minorBidi"/>
      <w:b/>
      <w:bCs/>
      <w:kern w:val="44"/>
      <w:sz w:val="32"/>
      <w:szCs w:val="32"/>
    </w:rPr>
  </w:style>
  <w:style w:type="paragraph" w:styleId="3">
    <w:name w:val="heading 2"/>
    <w:basedOn w:val="1"/>
    <w:next w:val="1"/>
    <w:link w:val="13"/>
    <w:unhideWhenUsed/>
    <w:qFormat/>
    <w:uiPriority w:val="9"/>
    <w:pPr>
      <w:keepNext/>
      <w:keepLines/>
      <w:numPr>
        <w:ilvl w:val="1"/>
        <w:numId w:val="1"/>
      </w:numPr>
      <w:spacing w:line="360" w:lineRule="auto"/>
      <w:outlineLvl w:val="1"/>
    </w:pPr>
    <w:rPr>
      <w:rFonts w:ascii="仿宋_GB2312" w:eastAsia="宋体" w:hAnsiTheme="majorHAnsi" w:cstheme="majorBidi"/>
      <w:b/>
      <w:bCs/>
      <w:sz w:val="32"/>
      <w:szCs w:val="32"/>
    </w:rPr>
  </w:style>
  <w:style w:type="paragraph" w:styleId="4">
    <w:name w:val="heading 3"/>
    <w:basedOn w:val="3"/>
    <w:next w:val="1"/>
    <w:link w:val="14"/>
    <w:unhideWhenUsed/>
    <w:qFormat/>
    <w:uiPriority w:val="9"/>
    <w:pPr>
      <w:numPr>
        <w:ilvl w:val="2"/>
      </w:numPr>
      <w:outlineLvl w:val="2"/>
    </w:pPr>
  </w:style>
  <w:style w:type="paragraph" w:styleId="5">
    <w:name w:val="heading 4"/>
    <w:basedOn w:val="1"/>
    <w:next w:val="1"/>
    <w:link w:val="15"/>
    <w:unhideWhenUsed/>
    <w:qFormat/>
    <w:uiPriority w:val="9"/>
    <w:pPr>
      <w:keepNext/>
      <w:keepLines/>
      <w:numPr>
        <w:ilvl w:val="3"/>
        <w:numId w:val="1"/>
      </w:numPr>
      <w:spacing w:line="360" w:lineRule="auto"/>
      <w:ind w:left="0" w:firstLine="0"/>
      <w:outlineLvl w:val="3"/>
    </w:pPr>
    <w:rPr>
      <w:rFonts w:eastAsia="宋体" w:asciiTheme="majorHAnsi" w:hAnsiTheme="majorHAnsi" w:cstheme="majorBidi"/>
      <w:bCs/>
      <w:sz w:val="32"/>
      <w:szCs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Hyperlink"/>
    <w:basedOn w:val="9"/>
    <w:semiHidden/>
    <w:unhideWhenUsed/>
    <w:qFormat/>
    <w:uiPriority w:val="99"/>
    <w:rPr>
      <w:color w:val="0000FF"/>
      <w:u w:val="single"/>
    </w:rPr>
  </w:style>
  <w:style w:type="paragraph" w:customStyle="1" w:styleId="11">
    <w:name w:val="b-free-read-leaf"/>
    <w:basedOn w:val="1"/>
    <w:qFormat/>
    <w:uiPriority w:val="0"/>
    <w:pPr>
      <w:widowControl/>
      <w:spacing w:before="100" w:beforeAutospacing="1" w:after="100" w:afterAutospacing="1"/>
      <w:jc w:val="left"/>
    </w:pPr>
    <w:rPr>
      <w:rFonts w:ascii="宋体" w:hAnsi="宋体" w:eastAsia="宋体" w:cs="宋体"/>
      <w:kern w:val="0"/>
      <w:szCs w:val="24"/>
    </w:rPr>
  </w:style>
  <w:style w:type="character" w:customStyle="1" w:styleId="12">
    <w:name w:val="标题 1 字符"/>
    <w:basedOn w:val="9"/>
    <w:link w:val="2"/>
    <w:qFormat/>
    <w:uiPriority w:val="9"/>
    <w:rPr>
      <w:rFonts w:ascii="黑体" w:hAnsi="黑体" w:eastAsia="黑体"/>
      <w:b/>
      <w:bCs/>
      <w:kern w:val="44"/>
      <w:sz w:val="32"/>
      <w:szCs w:val="32"/>
    </w:rPr>
  </w:style>
  <w:style w:type="character" w:customStyle="1" w:styleId="13">
    <w:name w:val="标题 2 字符"/>
    <w:basedOn w:val="9"/>
    <w:link w:val="3"/>
    <w:qFormat/>
    <w:uiPriority w:val="9"/>
    <w:rPr>
      <w:rFonts w:ascii="仿宋_GB2312" w:eastAsia="宋体" w:hAnsiTheme="majorHAnsi" w:cstheme="majorBidi"/>
      <w:b/>
      <w:bCs/>
      <w:sz w:val="32"/>
      <w:szCs w:val="32"/>
    </w:rPr>
  </w:style>
  <w:style w:type="character" w:customStyle="1" w:styleId="14">
    <w:name w:val="标题 3 字符"/>
    <w:basedOn w:val="9"/>
    <w:link w:val="4"/>
    <w:qFormat/>
    <w:uiPriority w:val="9"/>
    <w:rPr>
      <w:rFonts w:ascii="仿宋_GB2312" w:eastAsia="宋体" w:hAnsiTheme="majorHAnsi" w:cstheme="majorBidi"/>
      <w:b/>
      <w:bCs/>
      <w:sz w:val="32"/>
      <w:szCs w:val="32"/>
    </w:rPr>
  </w:style>
  <w:style w:type="character" w:customStyle="1" w:styleId="15">
    <w:name w:val="标题 4 字符"/>
    <w:basedOn w:val="9"/>
    <w:link w:val="5"/>
    <w:qFormat/>
    <w:uiPriority w:val="9"/>
    <w:rPr>
      <w:rFonts w:eastAsia="宋体" w:asciiTheme="majorHAnsi" w:hAnsiTheme="majorHAnsi" w:cstheme="majorBidi"/>
      <w:bCs/>
      <w:sz w:val="32"/>
      <w:szCs w:val="28"/>
    </w:rPr>
  </w:style>
  <w:style w:type="character" w:customStyle="1" w:styleId="16">
    <w:name w:val="页眉 字符"/>
    <w:basedOn w:val="9"/>
    <w:link w:val="7"/>
    <w:qFormat/>
    <w:uiPriority w:val="99"/>
    <w:rPr>
      <w:rFonts w:ascii="等线" w:hAnsi="等线" w:eastAsia="等线" w:cs="等线"/>
      <w:sz w:val="18"/>
      <w:szCs w:val="18"/>
    </w:rPr>
  </w:style>
  <w:style w:type="character" w:customStyle="1" w:styleId="17">
    <w:name w:val="页脚 字符"/>
    <w:basedOn w:val="9"/>
    <w:link w:val="6"/>
    <w:qFormat/>
    <w:uiPriority w:val="99"/>
    <w:rPr>
      <w:rFonts w:ascii="等线" w:hAnsi="等线" w:eastAsia="等线" w:cs="等线"/>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1166</Words>
  <Characters>1173</Characters>
  <Lines>126</Lines>
  <Paragraphs>35</Paragraphs>
  <TotalTime>3</TotalTime>
  <ScaleCrop>false</ScaleCrop>
  <LinksUpToDate>false</LinksUpToDate>
  <CharactersWithSpaces>1228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2026-05-14T08:02:00Z</dcterms:created>
  <dc:creator>Administrator</dc:creator>
  <cp:lastModifiedBy>孙晶颖</cp:lastModifiedBy>
  <dcterms:modified xsi:type="dcterms:W3CDTF">2026-05-14T09:09:18Z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eyJoZGlkIjoiYzkzNDMyYTcxNWEzZjY1ZWFjMjVjZTE2N2QyYzk2YzEiLCJ1c2VySWQiOiIzMzYzNzcyNzgifQ==</vt:lpwstr>
  </property>
  <property fmtid="{D5CDD505-2E9C-101B-9397-08002B2CF9AE}" pid="3" name="KSOProductBuildVer">
    <vt:lpwstr>2052-12.1.0.25865</vt:lpwstr>
  </property>
  <property fmtid="{D5CDD505-2E9C-101B-9397-08002B2CF9AE}" pid="4" name="ICV">
    <vt:lpwstr>B940872975BB4FC1BB8F1B19DF9E7FEE_13</vt:lpwstr>
  </property>
</Properties>
</file>