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FB0516">
      <w:pPr>
        <w:spacing w:line="360" w:lineRule="auto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5D0A9850">
      <w:pPr>
        <w:spacing w:line="360" w:lineRule="auto"/>
        <w:ind w:left="-286" w:leftChars="-236" w:hanging="280" w:hangingChars="78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 w14:paraId="3333DBD8">
      <w:pPr>
        <w:spacing w:line="360" w:lineRule="auto"/>
        <w:ind w:left="-4" w:leftChars="-177" w:hanging="421" w:hangingChars="117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“福建省市场监管协同检查改革移动应用提升服务项目”</w:t>
      </w:r>
    </w:p>
    <w:p w14:paraId="60066926">
      <w:pPr>
        <w:spacing w:line="360" w:lineRule="auto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报价表</w:t>
      </w:r>
    </w:p>
    <w:p w14:paraId="2E47A64C">
      <w:pPr>
        <w:spacing w:line="360" w:lineRule="auto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 w14:paraId="6B663E6D">
      <w:pPr>
        <w:jc w:val="righ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20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2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6年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 xml:space="preserve">  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 xml:space="preserve">  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日</w:t>
      </w:r>
    </w:p>
    <w:p w14:paraId="28E45FE0">
      <w:pPr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报价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单位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：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（盖章）</w:t>
      </w:r>
    </w:p>
    <w:p w14:paraId="1A4E68E4">
      <w:pPr>
        <w:rPr>
          <w:rFonts w:ascii="Times New Roman" w:hAnsi="Times New Roman" w:eastAsia="仿宋_GB2312" w:cs="Times New Roman"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联系人：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    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 联系电话：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          </w:t>
      </w:r>
    </w:p>
    <w:p w14:paraId="478B0A3D">
      <w:pPr>
        <w:rPr>
          <w:rFonts w:ascii="Times New Roman" w:hAnsi="Times New Roman" w:eastAsia="仿宋_GB2312" w:cs="Times New Roman"/>
          <w:kern w:val="0"/>
          <w:sz w:val="32"/>
          <w:szCs w:val="32"/>
          <w:u w:val="single"/>
        </w:rPr>
      </w:pPr>
    </w:p>
    <w:p w14:paraId="71E1AAF2">
      <w:pPr>
        <w:pStyle w:val="2"/>
        <w:numPr>
          <w:ilvl w:val="0"/>
          <w:numId w:val="0"/>
        </w:numPr>
        <w:rPr>
          <w:b w:val="0"/>
          <w:bCs w:val="0"/>
        </w:rPr>
      </w:pPr>
      <w:r>
        <w:rPr>
          <w:rFonts w:hint="eastAsia"/>
          <w:b w:val="0"/>
          <w:bCs w:val="0"/>
        </w:rPr>
        <w:t>一、项目概况</w:t>
      </w:r>
    </w:p>
    <w:p w14:paraId="632F212B">
      <w:pPr>
        <w:spacing w:line="360" w:lineRule="auto"/>
        <w:ind w:firstLine="640" w:firstLineChars="200"/>
        <w:rPr>
          <w:rFonts w:ascii="宋体" w:hAnsi="宋体" w:eastAsia="宋体" w:cs="Times New Roman"/>
          <w:kern w:val="0"/>
          <w:sz w:val="32"/>
          <w:szCs w:val="32"/>
        </w:rPr>
      </w:pPr>
      <w:r>
        <w:rPr>
          <w:rFonts w:hint="eastAsia" w:ascii="宋体" w:hAnsi="宋体" w:eastAsia="宋体" w:cs="Times New Roman"/>
          <w:kern w:val="0"/>
          <w:sz w:val="32"/>
          <w:szCs w:val="32"/>
        </w:rPr>
        <w:t>本项目拟采购福建省市场监管协同检查改革移动应用提升服务。该服务依托福建省市场监管智慧应用一体化平台现有移动应用基础，聚焦移动端协同检查任务执行、移动端现场检查辅助、双随机业务协同适配及运营培训等内容，着力构建覆盖新业务领域的移动端协同检查一体化支撑体系，推动协同检查从</w:t>
      </w:r>
      <w:r>
        <w:rPr>
          <w:rFonts w:hint="eastAsia" w:ascii="宋体" w:hAnsi="宋体" w:eastAsia="宋体" w:cs="Times New Roman"/>
          <w:kern w:val="0"/>
          <w:sz w:val="32"/>
          <w:szCs w:val="32"/>
          <w:lang w:eastAsia="zh-CN"/>
        </w:rPr>
        <w:t>“</w:t>
      </w:r>
      <w:r>
        <w:rPr>
          <w:rFonts w:ascii="宋体" w:hAnsi="宋体" w:eastAsia="宋体" w:cs="Times New Roman"/>
          <w:kern w:val="0"/>
          <w:sz w:val="32"/>
          <w:szCs w:val="32"/>
        </w:rPr>
        <w:t>制度化构建</w:t>
      </w:r>
      <w:r>
        <w:rPr>
          <w:rFonts w:hint="eastAsia" w:ascii="宋体" w:hAnsi="宋体" w:eastAsia="宋体" w:cs="Times New Roman"/>
          <w:kern w:val="0"/>
          <w:sz w:val="32"/>
          <w:szCs w:val="32"/>
          <w:lang w:eastAsia="zh-CN"/>
        </w:rPr>
        <w:t>”</w:t>
      </w:r>
      <w:r>
        <w:rPr>
          <w:rFonts w:ascii="宋体" w:hAnsi="宋体" w:eastAsia="宋体" w:cs="Times New Roman"/>
          <w:kern w:val="0"/>
          <w:sz w:val="32"/>
          <w:szCs w:val="32"/>
        </w:rPr>
        <w:t>向</w:t>
      </w:r>
      <w:r>
        <w:rPr>
          <w:rFonts w:hint="eastAsia" w:ascii="宋体" w:hAnsi="宋体" w:eastAsia="宋体" w:cs="Times New Roman"/>
          <w:kern w:val="0"/>
          <w:sz w:val="32"/>
          <w:szCs w:val="32"/>
          <w:lang w:eastAsia="zh-CN"/>
        </w:rPr>
        <w:t>“</w:t>
      </w:r>
      <w:r>
        <w:rPr>
          <w:rFonts w:ascii="宋体" w:hAnsi="宋体" w:eastAsia="宋体" w:cs="Times New Roman"/>
          <w:kern w:val="0"/>
          <w:sz w:val="32"/>
          <w:szCs w:val="32"/>
        </w:rPr>
        <w:t>效能化提升</w:t>
      </w:r>
      <w:r>
        <w:rPr>
          <w:rFonts w:hint="eastAsia" w:ascii="宋体" w:hAnsi="宋体" w:eastAsia="宋体" w:cs="Times New Roman"/>
          <w:kern w:val="0"/>
          <w:sz w:val="32"/>
          <w:szCs w:val="32"/>
          <w:lang w:eastAsia="zh-CN"/>
        </w:rPr>
        <w:t>”</w:t>
      </w:r>
      <w:r>
        <w:rPr>
          <w:rFonts w:ascii="宋体" w:hAnsi="宋体" w:eastAsia="宋体" w:cs="Times New Roman"/>
          <w:kern w:val="0"/>
          <w:sz w:val="32"/>
          <w:szCs w:val="32"/>
        </w:rPr>
        <w:t>转变，具体涵盖移动端协同检查任务执行服务、移动端现场检查辅助服务、双随机业务协同适配服务、协同检查运营与培训服务等四项内容，为</w:t>
      </w:r>
      <w:r>
        <w:rPr>
          <w:rFonts w:hint="eastAsia" w:ascii="宋体" w:hAnsi="宋体" w:eastAsia="宋体" w:cs="Times New Roman"/>
          <w:kern w:val="0"/>
          <w:sz w:val="32"/>
          <w:szCs w:val="32"/>
          <w:lang w:val="en-US" w:eastAsia="zh-CN"/>
        </w:rPr>
        <w:t>提升</w:t>
      </w:r>
      <w:r>
        <w:rPr>
          <w:rFonts w:hint="eastAsia" w:ascii="宋体" w:hAnsi="宋体" w:eastAsia="宋体" w:cs="Times New Roman"/>
          <w:kern w:val="0"/>
          <w:sz w:val="32"/>
          <w:szCs w:val="32"/>
          <w:lang w:eastAsia="zh-CN"/>
        </w:rPr>
        <w:t>“</w:t>
      </w:r>
      <w:r>
        <w:rPr>
          <w:rFonts w:ascii="宋体" w:hAnsi="宋体" w:eastAsia="宋体" w:cs="Times New Roman"/>
          <w:kern w:val="0"/>
          <w:sz w:val="32"/>
          <w:szCs w:val="32"/>
        </w:rPr>
        <w:t>进一次门、查多项事</w:t>
      </w:r>
      <w:r>
        <w:rPr>
          <w:rFonts w:hint="eastAsia" w:ascii="宋体" w:hAnsi="宋体" w:eastAsia="宋体" w:cs="Times New Roman"/>
          <w:kern w:val="0"/>
          <w:sz w:val="32"/>
          <w:szCs w:val="32"/>
          <w:lang w:eastAsia="zh-CN"/>
        </w:rPr>
        <w:t>”</w:t>
      </w:r>
      <w:r>
        <w:rPr>
          <w:rFonts w:hint="eastAsia" w:ascii="宋体" w:hAnsi="宋体" w:eastAsia="宋体" w:cs="Times New Roman"/>
          <w:kern w:val="0"/>
          <w:sz w:val="32"/>
          <w:szCs w:val="32"/>
          <w:lang w:val="en-US" w:eastAsia="zh-CN"/>
        </w:rPr>
        <w:t>协同检查质效</w:t>
      </w:r>
      <w:bookmarkStart w:id="0" w:name="_GoBack"/>
      <w:bookmarkEnd w:id="0"/>
      <w:r>
        <w:rPr>
          <w:rFonts w:ascii="宋体" w:hAnsi="宋体" w:eastAsia="宋体" w:cs="Times New Roman"/>
          <w:kern w:val="0"/>
          <w:sz w:val="32"/>
          <w:szCs w:val="32"/>
        </w:rPr>
        <w:t>提供移动端一体化服务支撑。</w:t>
      </w:r>
    </w:p>
    <w:p w14:paraId="427C20F7">
      <w:pPr>
        <w:widowControl/>
        <w:jc w:val="left"/>
        <w:rPr>
          <w:rFonts w:ascii="宋体" w:hAnsi="宋体" w:eastAsia="宋体" w:cs="Times New Roman"/>
          <w:kern w:val="0"/>
          <w:szCs w:val="32"/>
        </w:rPr>
      </w:pPr>
      <w:r>
        <w:rPr>
          <w:rFonts w:ascii="宋体" w:hAnsi="宋体" w:eastAsia="宋体" w:cs="Times New Roman"/>
          <w:kern w:val="0"/>
          <w:szCs w:val="32"/>
        </w:rPr>
        <w:br w:type="page"/>
      </w:r>
    </w:p>
    <w:p w14:paraId="0A204885">
      <w:pPr>
        <w:pStyle w:val="2"/>
        <w:numPr>
          <w:ilvl w:val="0"/>
          <w:numId w:val="0"/>
        </w:numPr>
        <w:rPr>
          <w:b w:val="0"/>
          <w:bCs w:val="0"/>
        </w:rPr>
      </w:pPr>
      <w:r>
        <w:rPr>
          <w:rFonts w:hint="eastAsia"/>
          <w:b w:val="0"/>
          <w:bCs w:val="0"/>
        </w:rPr>
        <w:t>二、需求内容及分项报价</w:t>
      </w:r>
    </w:p>
    <w:tbl>
      <w:tblPr>
        <w:tblStyle w:val="9"/>
        <w:tblW w:w="8490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1355"/>
        <w:gridCol w:w="4961"/>
        <w:gridCol w:w="1134"/>
      </w:tblGrid>
      <w:tr w14:paraId="27070C0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1040" w:type="dxa"/>
            <w:shd w:val="clear" w:color="auto" w:fill="D8D8D8" w:themeFill="background1" w:themeFillShade="D9"/>
            <w:vAlign w:val="center"/>
          </w:tcPr>
          <w:p w14:paraId="138ACE5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</w:rPr>
              <w:t>编号</w:t>
            </w:r>
          </w:p>
        </w:tc>
        <w:tc>
          <w:tcPr>
            <w:tcW w:w="1355" w:type="dxa"/>
            <w:shd w:val="clear" w:color="auto" w:fill="D8D8D8" w:themeFill="background1" w:themeFillShade="D9"/>
            <w:vAlign w:val="center"/>
          </w:tcPr>
          <w:p w14:paraId="4F1B9A8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4961" w:type="dxa"/>
            <w:shd w:val="clear" w:color="auto" w:fill="D8D8D8" w:themeFill="background1" w:themeFillShade="D9"/>
            <w:vAlign w:val="center"/>
          </w:tcPr>
          <w:p w14:paraId="7104179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</w:rPr>
              <w:t>服务需求及说明</w:t>
            </w:r>
          </w:p>
        </w:tc>
        <w:tc>
          <w:tcPr>
            <w:tcW w:w="1134" w:type="dxa"/>
            <w:shd w:val="clear" w:color="auto" w:fill="D8D8D8" w:themeFill="background1" w:themeFillShade="D9"/>
            <w:vAlign w:val="center"/>
          </w:tcPr>
          <w:p w14:paraId="4509E0EF">
            <w:pPr>
              <w:widowControl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</w:rPr>
              <w:t>金额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</w:rPr>
              <w:t>（万元）</w:t>
            </w:r>
          </w:p>
        </w:tc>
      </w:tr>
      <w:tr w14:paraId="2B7260B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1040" w:type="dxa"/>
            <w:vAlign w:val="center"/>
          </w:tcPr>
          <w:p w14:paraId="5464AB1A">
            <w:pPr>
              <w:widowControl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1355" w:type="dxa"/>
            <w:vAlign w:val="center"/>
          </w:tcPr>
          <w:p w14:paraId="3504E062">
            <w:pPr>
              <w:widowControl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移动端协同检查任务执行服务</w:t>
            </w:r>
          </w:p>
        </w:tc>
        <w:tc>
          <w:tcPr>
            <w:tcW w:w="4961" w:type="dxa"/>
          </w:tcPr>
          <w:p w14:paraId="1720E493">
            <w:pPr>
              <w:widowControl/>
              <w:jc w:val="left"/>
              <w:rPr>
                <w:rFonts w:ascii="宋体" w:hAnsi="宋体" w:cs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 w:val="21"/>
                <w:szCs w:val="21"/>
              </w:rPr>
              <w:t>根据市场监管协同检查改革对于移动端统一工作入口的要求，提供将移动端作为协同检查统一工作终端的服务，集成移动检查表单填写、实时数据上传、任务智能提醒与自动同步等核心服务，实现检查任务从派发、执行到结果提交的全程电子化、闭环化管理。</w:t>
            </w:r>
          </w:p>
        </w:tc>
        <w:tc>
          <w:tcPr>
            <w:tcW w:w="1134" w:type="dxa"/>
            <w:vAlign w:val="center"/>
          </w:tcPr>
          <w:p w14:paraId="63ED8E20">
            <w:pPr>
              <w:widowControl/>
              <w:jc w:val="center"/>
              <w:rPr>
                <w:rFonts w:ascii="宋体" w:hAnsi="宋体" w:cs="宋体"/>
                <w:bCs/>
                <w:color w:val="000000"/>
                <w:sz w:val="21"/>
                <w:szCs w:val="21"/>
              </w:rPr>
            </w:pPr>
          </w:p>
        </w:tc>
      </w:tr>
      <w:tr w14:paraId="2A324AA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1040" w:type="dxa"/>
            <w:vAlign w:val="center"/>
          </w:tcPr>
          <w:p w14:paraId="5DF4B5A0">
            <w:pPr>
              <w:widowControl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2</w:t>
            </w:r>
          </w:p>
        </w:tc>
        <w:tc>
          <w:tcPr>
            <w:tcW w:w="1355" w:type="dxa"/>
            <w:vAlign w:val="center"/>
          </w:tcPr>
          <w:p w14:paraId="0FE8ABF8">
            <w:pPr>
              <w:widowControl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移动端现场检查辅助服务</w:t>
            </w:r>
          </w:p>
        </w:tc>
        <w:tc>
          <w:tcPr>
            <w:tcW w:w="4961" w:type="dxa"/>
          </w:tcPr>
          <w:p w14:paraId="6C1A11B2">
            <w:pPr>
              <w:widowControl/>
              <w:jc w:val="left"/>
              <w:rPr>
                <w:rFonts w:ascii="宋体" w:hAnsi="宋体" w:cs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 w:val="21"/>
                <w:szCs w:val="21"/>
              </w:rPr>
              <w:t>根据移动端协同检查能力拓展与现场执法效率提升的要求，提供移动端检查能力增强服务，拓展移动端检查录入、信息查询、任务管理、主体分类维护、权限管理、电子签名及页面适配等能力。</w:t>
            </w:r>
          </w:p>
        </w:tc>
        <w:tc>
          <w:tcPr>
            <w:tcW w:w="1134" w:type="dxa"/>
            <w:vAlign w:val="center"/>
          </w:tcPr>
          <w:p w14:paraId="3F25DA3E">
            <w:pPr>
              <w:widowControl/>
              <w:jc w:val="center"/>
              <w:rPr>
                <w:rFonts w:ascii="宋体" w:hAnsi="宋体" w:cs="宋体"/>
                <w:bCs/>
                <w:color w:val="000000"/>
                <w:sz w:val="21"/>
                <w:szCs w:val="21"/>
              </w:rPr>
            </w:pPr>
          </w:p>
        </w:tc>
      </w:tr>
      <w:tr w14:paraId="17476FB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1040" w:type="dxa"/>
            <w:vAlign w:val="center"/>
          </w:tcPr>
          <w:p w14:paraId="666793A1">
            <w:pPr>
              <w:widowControl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3</w:t>
            </w:r>
          </w:p>
        </w:tc>
        <w:tc>
          <w:tcPr>
            <w:tcW w:w="1355" w:type="dxa"/>
            <w:vAlign w:val="center"/>
          </w:tcPr>
          <w:p w14:paraId="2E977DF4">
            <w:pPr>
              <w:widowControl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双随机业务协同适配服务</w:t>
            </w:r>
          </w:p>
        </w:tc>
        <w:tc>
          <w:tcPr>
            <w:tcW w:w="4961" w:type="dxa"/>
          </w:tcPr>
          <w:p w14:paraId="04C7B3CA">
            <w:pPr>
              <w:widowControl/>
              <w:jc w:val="left"/>
              <w:rPr>
                <w:rFonts w:ascii="宋体" w:hAnsi="宋体" w:cs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 w:val="21"/>
                <w:szCs w:val="21"/>
              </w:rPr>
              <w:t>根据市场监管“双随机、一公开”监管改革对于多业务领域协同检查的要求，提供基于市场监管双随机业务，实现广告监管、价格监管、网络交易监管、专利代理机构监管、商标监管、直销监管、计量监管、产品质量安全监管、认证认可和检测监管等业务领域的双随机监管检查服务，全流程业务兼容，按照各业务领域的监管对象、监管对象标签和监管检查人员等要素，提供抽查计划管理、抽查方案制定、主体随机抽取、主体随机选派、主体名单确认、人员随机选派、抽查结果管理、主体管理、双随机检查项目管理等关键服务模块的适配服务。</w:t>
            </w:r>
          </w:p>
        </w:tc>
        <w:tc>
          <w:tcPr>
            <w:tcW w:w="1134" w:type="dxa"/>
            <w:vAlign w:val="center"/>
          </w:tcPr>
          <w:p w14:paraId="7C48FE0F">
            <w:pPr>
              <w:widowControl/>
              <w:jc w:val="center"/>
              <w:rPr>
                <w:rFonts w:ascii="宋体" w:hAnsi="宋体" w:cs="宋体"/>
                <w:bCs/>
                <w:color w:val="000000"/>
                <w:sz w:val="21"/>
                <w:szCs w:val="21"/>
              </w:rPr>
            </w:pPr>
          </w:p>
        </w:tc>
      </w:tr>
      <w:tr w14:paraId="5F726FC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1040" w:type="dxa"/>
            <w:vAlign w:val="center"/>
          </w:tcPr>
          <w:p w14:paraId="2A94EF62">
            <w:pPr>
              <w:widowControl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4</w:t>
            </w:r>
          </w:p>
        </w:tc>
        <w:tc>
          <w:tcPr>
            <w:tcW w:w="1355" w:type="dxa"/>
            <w:vAlign w:val="center"/>
          </w:tcPr>
          <w:p w14:paraId="2EB055C6">
            <w:pPr>
              <w:widowControl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协同检查运营与培训服务</w:t>
            </w:r>
          </w:p>
        </w:tc>
        <w:tc>
          <w:tcPr>
            <w:tcW w:w="4961" w:type="dxa"/>
          </w:tcPr>
          <w:p w14:paraId="3DD7583C">
            <w:pPr>
              <w:widowControl/>
              <w:jc w:val="left"/>
              <w:rPr>
                <w:rFonts w:ascii="宋体" w:hAnsi="宋体" w:cs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 w:val="21"/>
                <w:szCs w:val="21"/>
              </w:rPr>
              <w:t>根据市场监管协同检查改革推进与基层能力建设的要求，提供协同检查运营与培训服务，保障改革试点工作的顺利推进与常态化运行。</w:t>
            </w:r>
          </w:p>
        </w:tc>
        <w:tc>
          <w:tcPr>
            <w:tcW w:w="1134" w:type="dxa"/>
            <w:vAlign w:val="center"/>
          </w:tcPr>
          <w:p w14:paraId="0960BE55">
            <w:pPr>
              <w:widowControl/>
              <w:jc w:val="center"/>
              <w:rPr>
                <w:rFonts w:ascii="宋体" w:hAnsi="宋体" w:cs="宋体"/>
                <w:bCs/>
                <w:color w:val="000000"/>
                <w:sz w:val="21"/>
                <w:szCs w:val="21"/>
              </w:rPr>
            </w:pPr>
          </w:p>
        </w:tc>
      </w:tr>
    </w:tbl>
    <w:p w14:paraId="44365E1C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合计总价：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>元（大写）</w:t>
      </w:r>
    </w:p>
    <w:p w14:paraId="74C542F1">
      <w:pPr>
        <w:spacing w:before="156" w:beforeLines="50"/>
        <w:ind w:firstLine="2240" w:firstLineChars="7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</w:t>
      </w:r>
      <w:r>
        <w:rPr>
          <w:rFonts w:ascii="Times New Roman" w:hAnsi="Times New Roman" w:eastAsia="仿宋_GB2312" w:cs="Times New Roman"/>
          <w:sz w:val="32"/>
          <w:szCs w:val="32"/>
        </w:rPr>
        <w:t>元（小写）</w:t>
      </w:r>
    </w:p>
    <w:p w14:paraId="4B0B4343">
      <w:pPr>
        <w:rPr>
          <w:rFonts w:hint="eastAsia"/>
        </w:rPr>
      </w:pPr>
    </w:p>
    <w:sectPr>
      <w:pgSz w:w="11906" w:h="16838"/>
      <w:pgMar w:top="1440" w:right="1274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0850E8"/>
    <w:multiLevelType w:val="multilevel"/>
    <w:tmpl w:val="0B0850E8"/>
    <w:lvl w:ilvl="0" w:tentative="0">
      <w:start w:val="1"/>
      <w:numFmt w:val="decimal"/>
      <w:pStyle w:val="2"/>
      <w:lvlText w:val="%1"/>
      <w:lvlJc w:val="left"/>
      <w:pPr>
        <w:ind w:left="425" w:hanging="425"/>
      </w:pPr>
    </w:lvl>
    <w:lvl w:ilvl="1" w:tentative="0">
      <w:start w:val="1"/>
      <w:numFmt w:val="decimal"/>
      <w:pStyle w:val="3"/>
      <w:lvlText w:val="%1.%2"/>
      <w:lvlJc w:val="left"/>
      <w:pPr>
        <w:ind w:left="992" w:hanging="567"/>
      </w:pPr>
    </w:lvl>
    <w:lvl w:ilvl="2" w:tentative="0">
      <w:start w:val="1"/>
      <w:numFmt w:val="decimal"/>
      <w:pStyle w:val="4"/>
      <w:lvlText w:val="%1.%2.%3"/>
      <w:lvlJc w:val="left"/>
      <w:pPr>
        <w:ind w:left="1418" w:hanging="567"/>
      </w:pPr>
    </w:lvl>
    <w:lvl w:ilvl="3" w:tentative="0">
      <w:start w:val="1"/>
      <w:numFmt w:val="decimal"/>
      <w:pStyle w:val="5"/>
      <w:lvlText w:val="%1.%2.%3.%4"/>
      <w:lvlJc w:val="left"/>
      <w:pPr>
        <w:ind w:left="1984" w:hanging="708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241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64B"/>
    <w:rsid w:val="000111D3"/>
    <w:rsid w:val="00065BBF"/>
    <w:rsid w:val="00073930"/>
    <w:rsid w:val="001A4B92"/>
    <w:rsid w:val="001B5849"/>
    <w:rsid w:val="00341496"/>
    <w:rsid w:val="0063464B"/>
    <w:rsid w:val="006428C0"/>
    <w:rsid w:val="00672B47"/>
    <w:rsid w:val="006E7C8B"/>
    <w:rsid w:val="00796E83"/>
    <w:rsid w:val="00797854"/>
    <w:rsid w:val="00846218"/>
    <w:rsid w:val="00A072FD"/>
    <w:rsid w:val="00A81B6F"/>
    <w:rsid w:val="00D049E1"/>
    <w:rsid w:val="00D21963"/>
    <w:rsid w:val="00E01DCE"/>
    <w:rsid w:val="00E54E0E"/>
    <w:rsid w:val="00E67726"/>
    <w:rsid w:val="00E77993"/>
    <w:rsid w:val="00E87D73"/>
    <w:rsid w:val="15813CB2"/>
    <w:rsid w:val="18EF34C6"/>
    <w:rsid w:val="35DA0547"/>
    <w:rsid w:val="3C7B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等线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numPr>
        <w:ilvl w:val="0"/>
        <w:numId w:val="1"/>
      </w:numPr>
      <w:spacing w:line="360" w:lineRule="auto"/>
      <w:outlineLvl w:val="0"/>
    </w:pPr>
    <w:rPr>
      <w:rFonts w:ascii="黑体" w:hAnsi="黑体" w:eastAsia="黑体" w:cstheme="minorBidi"/>
      <w:b/>
      <w:bCs/>
      <w:kern w:val="44"/>
      <w:sz w:val="32"/>
      <w:szCs w:val="32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numPr>
        <w:ilvl w:val="1"/>
        <w:numId w:val="1"/>
      </w:numPr>
      <w:spacing w:line="360" w:lineRule="auto"/>
      <w:outlineLvl w:val="1"/>
    </w:pPr>
    <w:rPr>
      <w:rFonts w:ascii="仿宋_GB2312" w:eastAsia="宋体" w:hAnsiTheme="majorHAnsi" w:cstheme="majorBidi"/>
      <w:b/>
      <w:bCs/>
      <w:sz w:val="32"/>
      <w:szCs w:val="32"/>
    </w:rPr>
  </w:style>
  <w:style w:type="paragraph" w:styleId="4">
    <w:name w:val="heading 3"/>
    <w:basedOn w:val="3"/>
    <w:next w:val="1"/>
    <w:link w:val="15"/>
    <w:unhideWhenUsed/>
    <w:qFormat/>
    <w:uiPriority w:val="9"/>
    <w:pPr>
      <w:numPr>
        <w:ilvl w:val="2"/>
      </w:numPr>
      <w:outlineLvl w:val="2"/>
    </w:pPr>
  </w:style>
  <w:style w:type="paragraph" w:styleId="5">
    <w:name w:val="heading 4"/>
    <w:basedOn w:val="1"/>
    <w:next w:val="1"/>
    <w:link w:val="16"/>
    <w:unhideWhenUsed/>
    <w:qFormat/>
    <w:uiPriority w:val="9"/>
    <w:pPr>
      <w:keepNext/>
      <w:keepLines/>
      <w:numPr>
        <w:ilvl w:val="3"/>
        <w:numId w:val="1"/>
      </w:numPr>
      <w:spacing w:line="360" w:lineRule="auto"/>
      <w:ind w:left="0" w:firstLine="0"/>
      <w:outlineLvl w:val="3"/>
    </w:pPr>
    <w:rPr>
      <w:rFonts w:eastAsia="宋体" w:asciiTheme="majorHAnsi" w:hAnsiTheme="majorHAnsi" w:cstheme="majorBidi"/>
      <w:bCs/>
      <w:sz w:val="32"/>
      <w:szCs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double" w:color="auto" w:sz="4" w:space="0"/>
        <w:left w:val="double" w:color="auto" w:sz="4" w:space="0"/>
        <w:bottom w:val="double" w:color="auto" w:sz="4" w:space="0"/>
        <w:right w:val="double" w:color="auto" w:sz="4" w:space="0"/>
        <w:insideH w:val="single" w:color="auto" w:sz="4" w:space="0"/>
        <w:insideV w:val="single" w:color="auto" w:sz="4" w:space="0"/>
      </w:tblBorders>
    </w:tblPr>
    <w:tblStylePr w:type="firstRow">
      <w:tcPr>
        <w:shd w:val="clear" w:color="auto" w:fill="D8D8D8" w:themeFill="background1" w:themeFillShade="D9"/>
      </w:tcPr>
    </w:tblStylePr>
  </w:style>
  <w:style w:type="character" w:styleId="11">
    <w:name w:val="Hyperlink"/>
    <w:basedOn w:val="10"/>
    <w:semiHidden/>
    <w:unhideWhenUsed/>
    <w:qFormat/>
    <w:uiPriority w:val="99"/>
    <w:rPr>
      <w:color w:val="0000FF"/>
      <w:u w:val="single"/>
    </w:rPr>
  </w:style>
  <w:style w:type="paragraph" w:customStyle="1" w:styleId="12">
    <w:name w:val="b-free-read-leaf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Cs w:val="24"/>
    </w:rPr>
  </w:style>
  <w:style w:type="character" w:customStyle="1" w:styleId="13">
    <w:name w:val="标题 1 字符"/>
    <w:basedOn w:val="10"/>
    <w:link w:val="2"/>
    <w:qFormat/>
    <w:uiPriority w:val="9"/>
    <w:rPr>
      <w:rFonts w:ascii="黑体" w:hAnsi="黑体" w:eastAsia="黑体"/>
      <w:b/>
      <w:bCs/>
      <w:kern w:val="44"/>
      <w:sz w:val="32"/>
      <w:szCs w:val="32"/>
    </w:rPr>
  </w:style>
  <w:style w:type="character" w:customStyle="1" w:styleId="14">
    <w:name w:val="标题 2 字符"/>
    <w:basedOn w:val="10"/>
    <w:link w:val="3"/>
    <w:qFormat/>
    <w:uiPriority w:val="9"/>
    <w:rPr>
      <w:rFonts w:ascii="仿宋_GB2312" w:eastAsia="宋体" w:hAnsiTheme="majorHAnsi" w:cstheme="majorBidi"/>
      <w:b/>
      <w:bCs/>
      <w:sz w:val="32"/>
      <w:szCs w:val="32"/>
    </w:rPr>
  </w:style>
  <w:style w:type="character" w:customStyle="1" w:styleId="15">
    <w:name w:val="标题 3 字符"/>
    <w:basedOn w:val="10"/>
    <w:link w:val="4"/>
    <w:qFormat/>
    <w:uiPriority w:val="9"/>
    <w:rPr>
      <w:rFonts w:ascii="仿宋_GB2312" w:eastAsia="宋体" w:hAnsiTheme="majorHAnsi" w:cstheme="majorBidi"/>
      <w:b/>
      <w:bCs/>
      <w:sz w:val="32"/>
      <w:szCs w:val="32"/>
    </w:rPr>
  </w:style>
  <w:style w:type="character" w:customStyle="1" w:styleId="16">
    <w:name w:val="标题 4 字符"/>
    <w:basedOn w:val="10"/>
    <w:link w:val="5"/>
    <w:qFormat/>
    <w:uiPriority w:val="9"/>
    <w:rPr>
      <w:rFonts w:eastAsia="宋体" w:asciiTheme="majorHAnsi" w:hAnsiTheme="majorHAnsi" w:cstheme="majorBidi"/>
      <w:bCs/>
      <w:sz w:val="32"/>
      <w:szCs w:val="28"/>
    </w:rPr>
  </w:style>
  <w:style w:type="character" w:customStyle="1" w:styleId="17">
    <w:name w:val="页眉 字符"/>
    <w:basedOn w:val="10"/>
    <w:link w:val="7"/>
    <w:qFormat/>
    <w:uiPriority w:val="99"/>
    <w:rPr>
      <w:rFonts w:ascii="等线" w:hAnsi="等线" w:eastAsia="等线" w:cs="等线"/>
      <w:sz w:val="18"/>
      <w:szCs w:val="18"/>
    </w:rPr>
  </w:style>
  <w:style w:type="character" w:customStyle="1" w:styleId="18">
    <w:name w:val="页脚 字符"/>
    <w:basedOn w:val="10"/>
    <w:link w:val="6"/>
    <w:qFormat/>
    <w:uiPriority w:val="99"/>
    <w:rPr>
      <w:rFonts w:ascii="等线" w:hAnsi="等线" w:eastAsia="等线" w:cs="等线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895</Words>
  <Characters>898</Characters>
  <Lines>7</Lines>
  <Paragraphs>2</Paragraphs>
  <TotalTime>1</TotalTime>
  <ScaleCrop>false</ScaleCrop>
  <LinksUpToDate>false</LinksUpToDate>
  <CharactersWithSpaces>982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2026-08-04T08:24:00Z</dcterms:created>
  <dc:creator>Administrator</dc:creator>
  <cp:lastModifiedBy>Zealot</cp:lastModifiedBy>
  <cp:lastPrinted>2026-08-05T00:56:56Z</cp:lastPrinted>
  <dcterms:modified xsi:type="dcterms:W3CDTF">2026-08-05T00:58:22Z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eyJoZGlkIjoiNzFkYzA1NTJkMWVkZGUyZTdmNDAxNjBhOGUzNTlhNjEiLCJ1c2VySWQiOiIzMzQyMTQwNjAifQ==</vt:lpwstr>
  </property>
  <property fmtid="{D5CDD505-2E9C-101B-9397-08002B2CF9AE}" pid="3" name="KSOProductBuildVer">
    <vt:lpwstr>2052-12.1.0.23125</vt:lpwstr>
  </property>
  <property fmtid="{D5CDD505-2E9C-101B-9397-08002B2CF9AE}" pid="4" name="ICV">
    <vt:lpwstr>B940872975BB4FC1BB8F1B19DF9E7FEE_13</vt:lpwstr>
  </property>
</Properties>
</file>