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8511B">
      <w:pPr>
        <w:numPr>
          <w:ilvl w:val="0"/>
          <w:numId w:val="0"/>
        </w:numPr>
        <w:snapToGrid w:val="0"/>
        <w:ind w:leftChars="0"/>
        <w:rPr>
          <w:rFonts w:hint="eastAsia" w:ascii="仿宋" w:hAnsi="仿宋" w:eastAsia="仿宋" w:cs="仿宋"/>
          <w:sz w:val="28"/>
          <w:szCs w:val="28"/>
        </w:rPr>
      </w:pPr>
    </w:p>
    <w:p w14:paraId="2E711819">
      <w:pPr>
        <w:jc w:val="center"/>
        <w:outlineLvl w:val="0"/>
        <w:rPr>
          <w:rFonts w:hint="eastAsia" w:ascii="方正小标宋简体" w:eastAsia="方正小标宋简体"/>
          <w:spacing w:val="157"/>
          <w:kern w:val="0"/>
          <w:sz w:val="100"/>
          <w:szCs w:val="100"/>
        </w:rPr>
      </w:pPr>
    </w:p>
    <w:p w14:paraId="1417A09C">
      <w:pPr>
        <w:jc w:val="both"/>
        <w:outlineLvl w:val="0"/>
        <w:rPr>
          <w:rFonts w:hint="eastAsia" w:ascii="方正小标宋简体" w:eastAsia="方正小标宋简体"/>
          <w:spacing w:val="157"/>
          <w:kern w:val="0"/>
          <w:sz w:val="100"/>
          <w:szCs w:val="100"/>
        </w:rPr>
      </w:pPr>
    </w:p>
    <w:p w14:paraId="229B52EC">
      <w:pPr>
        <w:jc w:val="center"/>
        <w:outlineLvl w:val="0"/>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14:paraId="16EF0B1C">
      <w:pPr>
        <w:jc w:val="center"/>
        <w:outlineLvl w:val="0"/>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14:paraId="02B636C3">
      <w:pPr>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14:paraId="5E836DF4">
      <w:pPr>
        <w:jc w:val="center"/>
        <w:outlineLvl w:val="0"/>
        <w:rPr>
          <w:rFonts w:hint="eastAsia" w:ascii="方正小标宋简体" w:eastAsia="方正小标宋简体"/>
          <w:sz w:val="84"/>
          <w:szCs w:val="84"/>
        </w:rPr>
      </w:pPr>
      <w:r>
        <w:rPr>
          <w:rFonts w:hint="eastAsia" w:ascii="方正小标宋简体" w:eastAsia="方正小标宋简体"/>
          <w:spacing w:val="157"/>
          <w:kern w:val="0"/>
          <w:sz w:val="100"/>
          <w:szCs w:val="100"/>
        </w:rPr>
        <w:t>件</w:t>
      </w:r>
    </w:p>
    <w:p w14:paraId="6D57ACE5">
      <w:pPr>
        <w:pStyle w:val="10"/>
        <w:jc w:val="center"/>
        <w:rPr>
          <w:rFonts w:hint="eastAsia" w:ascii="仿宋" w:hAnsi="仿宋" w:eastAsia="仿宋" w:cs="仿宋"/>
          <w:b/>
          <w:bCs/>
          <w:i w:val="0"/>
          <w:iCs w:val="0"/>
          <w:caps w:val="0"/>
          <w:color w:val="333333"/>
          <w:spacing w:val="0"/>
          <w:sz w:val="28"/>
          <w:szCs w:val="28"/>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52BBEB">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一、项目说明</w:t>
      </w:r>
    </w:p>
    <w:p w14:paraId="69667932">
      <w:pPr>
        <w:adjustRightInd w:val="0"/>
        <w:snapToGrid w:val="0"/>
        <w:spacing w:line="288" w:lineRule="auto"/>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（一）项目名称</w:t>
      </w:r>
    </w:p>
    <w:p w14:paraId="0118C408">
      <w:pPr>
        <w:adjustRightInd w:val="0"/>
        <w:snapToGrid w:val="0"/>
        <w:spacing w:line="288" w:lineRule="auto"/>
        <w:ind w:firstLine="600" w:firstLineChars="200"/>
        <w:rPr>
          <w:rFonts w:hint="eastAsia" w:ascii="仿宋" w:hAnsi="仿宋" w:eastAsia="仿宋" w:cs="仿宋"/>
          <w:sz w:val="30"/>
          <w:szCs w:val="30"/>
        </w:rPr>
      </w:pPr>
      <w:bookmarkStart w:id="0" w:name="_Toc498001259"/>
      <w:bookmarkStart w:id="1" w:name="_Toc498001358"/>
      <w:r>
        <w:rPr>
          <w:rFonts w:hint="eastAsia" w:ascii="仿宋" w:hAnsi="仿宋" w:eastAsia="仿宋" w:cs="仿宋"/>
          <w:sz w:val="30"/>
          <w:szCs w:val="30"/>
        </w:rPr>
        <w:t>全国市场监管系统经营主体数据分析大赛数据服务项目</w:t>
      </w:r>
    </w:p>
    <w:p w14:paraId="23DF9662">
      <w:pPr>
        <w:adjustRightInd w:val="0"/>
        <w:snapToGrid w:val="0"/>
        <w:spacing w:line="288" w:lineRule="auto"/>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（二）资格要求</w:t>
      </w:r>
      <w:bookmarkEnd w:id="0"/>
      <w:bookmarkEnd w:id="1"/>
    </w:p>
    <w:p w14:paraId="32D08B51">
      <w:pPr>
        <w:adjustRightInd w:val="0"/>
        <w:snapToGrid w:val="0"/>
        <w:spacing w:line="288" w:lineRule="auto"/>
        <w:ind w:firstLine="600" w:firstLineChars="200"/>
        <w:rPr>
          <w:rFonts w:hint="eastAsia" w:ascii="仿宋" w:hAnsi="仿宋" w:eastAsia="仿宋" w:cs="仿宋"/>
          <w:sz w:val="30"/>
          <w:szCs w:val="30"/>
        </w:rPr>
      </w:pPr>
      <w:bookmarkStart w:id="2" w:name="_Toc498001263"/>
      <w:bookmarkStart w:id="3" w:name="_Toc498001362"/>
      <w:r>
        <w:rPr>
          <w:rFonts w:hint="eastAsia" w:ascii="仿宋" w:hAnsi="仿宋" w:eastAsia="仿宋" w:cs="仿宋"/>
          <w:sz w:val="30"/>
          <w:szCs w:val="30"/>
        </w:rPr>
        <w:t>1.供应商应具备下列资格条件，并提供证明材料（包括但不限于）：</w:t>
      </w:r>
    </w:p>
    <w:p w14:paraId="054380B2">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14:paraId="5D08581D">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（2）具有良好的商业信誉和健全的财务会计制度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提供参加本次采购活动上一年度或上一季度财务报告复印件，至少包括“包括资产负债表、利润表、现金流量表、所有者权益变动表（若有）及其附注（若有）”</w:t>
      </w:r>
      <w:r>
        <w:rPr>
          <w:rFonts w:hint="eastAsia" w:ascii="仿宋" w:hAnsi="仿宋" w:eastAsia="仿宋" w:cs="仿宋"/>
          <w:sz w:val="30"/>
          <w:szCs w:val="30"/>
          <w:highlight w:val="none"/>
          <w:lang w:val="en-US" w:eastAsia="zh-CN"/>
        </w:rPr>
        <w:t>,或提供具有符合采购文件资格要求的财务状况报告的承诺函</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p>
    <w:p w14:paraId="61E9583F">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（3）具有履行合同所必需的设备和专业技术能力（根据项目需求提供履行合同所必需的设备和专业技术能力</w:t>
      </w:r>
      <w:r>
        <w:rPr>
          <w:rFonts w:hint="eastAsia" w:ascii="仿宋" w:hAnsi="仿宋" w:eastAsia="仿宋" w:cs="仿宋"/>
          <w:sz w:val="30"/>
          <w:szCs w:val="30"/>
          <w:lang w:eastAsia="zh-CN"/>
        </w:rPr>
        <w:t>的声明函</w:t>
      </w:r>
      <w:r>
        <w:rPr>
          <w:rFonts w:hint="eastAsia" w:ascii="仿宋" w:hAnsi="仿宋" w:eastAsia="仿宋" w:cs="仿宋"/>
          <w:sz w:val="30"/>
          <w:szCs w:val="30"/>
          <w:highlight w:val="none"/>
        </w:rPr>
        <w:t>）。</w:t>
      </w:r>
    </w:p>
    <w:p w14:paraId="25D816CA">
      <w:pPr>
        <w:adjustRightInd w:val="0"/>
        <w:snapToGrid w:val="0"/>
        <w:spacing w:line="288"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（4）有依法缴纳税收和社会保障资金的良好记录（提供参加本次政府采购活动前一年内任一个月的依法缴纳税收和社会保障资金的相关材料）。</w:t>
      </w:r>
    </w:p>
    <w:p w14:paraId="0BD4C844">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（5）参加采购活动前</w:t>
      </w:r>
      <w:r>
        <w:rPr>
          <w:rFonts w:hint="eastAsia" w:ascii="仿宋" w:hAnsi="仿宋" w:eastAsia="仿宋" w:cs="仿宋"/>
          <w:sz w:val="30"/>
          <w:szCs w:val="30"/>
          <w:lang w:eastAsia="zh-CN"/>
        </w:rPr>
        <w:t>三</w:t>
      </w:r>
      <w:r>
        <w:rPr>
          <w:rFonts w:hint="eastAsia" w:ascii="仿宋" w:hAnsi="仿宋" w:eastAsia="仿宋" w:cs="仿宋"/>
          <w:sz w:val="30"/>
          <w:szCs w:val="30"/>
        </w:rPr>
        <w:t>年内，在经营活动中没有重大违法记录（提供参加本次采购活动前</w:t>
      </w:r>
      <w:r>
        <w:rPr>
          <w:rFonts w:hint="eastAsia" w:ascii="仿宋" w:hAnsi="仿宋" w:eastAsia="仿宋" w:cs="仿宋"/>
          <w:sz w:val="30"/>
          <w:szCs w:val="30"/>
          <w:lang w:eastAsia="zh-CN"/>
        </w:rPr>
        <w:t>三</w:t>
      </w:r>
      <w:r>
        <w:rPr>
          <w:rFonts w:hint="eastAsia" w:ascii="仿宋" w:hAnsi="仿宋" w:eastAsia="仿宋" w:cs="仿宋"/>
          <w:sz w:val="30"/>
          <w:szCs w:val="30"/>
        </w:rPr>
        <w:t>年内在经营活动中没有违法记录的书面声明）。</w:t>
      </w:r>
    </w:p>
    <w:p w14:paraId="298BDFD3">
      <w:pPr>
        <w:adjustRightInd w:val="0"/>
        <w:snapToGrid w:val="0"/>
        <w:spacing w:line="288"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（6）法律、行政法规规定的其他条件（提供项目实施所必须的许可资质证明材料）。</w:t>
      </w:r>
    </w:p>
    <w:p w14:paraId="160698D9">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2.本项目不接受下列供应商：</w:t>
      </w:r>
    </w:p>
    <w:p w14:paraId="72B705CD">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（1）联合体形式的供应商。</w:t>
      </w:r>
    </w:p>
    <w:p w14:paraId="3BEE843A">
      <w:pPr>
        <w:keepNext w:val="0"/>
        <w:keepLines w:val="0"/>
        <w:pageBreakBefore w:val="0"/>
        <w:widowControl w:val="0"/>
        <w:kinsoku/>
        <w:wordWrap w:val="0"/>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w:t>
      </w:r>
      <w:r>
        <w:rPr>
          <w:rFonts w:hint="eastAsia" w:ascii="仿宋" w:hAnsi="仿宋" w:eastAsia="仿宋" w:cs="仿宋"/>
          <w:snapToGrid w:val="0"/>
          <w:spacing w:val="-11"/>
          <w:kern w:val="0"/>
          <w:sz w:val="30"/>
          <w:szCs w:val="30"/>
        </w:rPr>
        <w:t>供应商被“信用中国”网站（www.creditchina.gov.cn）</w:t>
      </w:r>
      <w:r>
        <w:rPr>
          <w:rFonts w:hint="eastAsia" w:ascii="仿宋" w:hAnsi="仿宋" w:eastAsia="仿宋" w:cs="仿宋"/>
          <w:snapToGrid w:val="0"/>
          <w:kern w:val="0"/>
          <w:sz w:val="30"/>
          <w:szCs w:val="30"/>
        </w:rPr>
        <w:t>、“中国政府采购网”</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www.ccgp.gov.cn</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列入失信被执行人、重大税收违法案件当事人名单、政府采购严重违法失信行为记录名单。</w:t>
      </w:r>
    </w:p>
    <w:p w14:paraId="55E0EC95">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（3）供应商存在其他失信情况的。</w:t>
      </w:r>
    </w:p>
    <w:p w14:paraId="4272D937">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4" w:name="_Toc498001260"/>
      <w:bookmarkStart w:id="5" w:name="_Toc498001359"/>
      <w:r>
        <w:rPr>
          <w:rFonts w:hint="eastAsia" w:ascii="楷体_GB2312" w:hAnsi="楷体_GB2312" w:eastAsia="楷体_GB2312" w:cs="楷体_GB2312"/>
          <w:b/>
          <w:bCs/>
          <w:snapToGrid w:val="0"/>
          <w:kern w:val="0"/>
          <w:sz w:val="32"/>
          <w:szCs w:val="32"/>
        </w:rPr>
        <w:t>（三）投标须知</w:t>
      </w:r>
      <w:bookmarkEnd w:id="4"/>
      <w:bookmarkEnd w:id="5"/>
    </w:p>
    <w:p w14:paraId="39E65083">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1.各供应商填列价格以人民币为单位，须包括完成本项目所涉及的一切费用。</w:t>
      </w:r>
    </w:p>
    <w:p w14:paraId="6EDAC4B1">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w:t>
      </w:r>
      <w:bookmarkStart w:id="6" w:name="_Toc498001261"/>
      <w:bookmarkStart w:id="7" w:name="_Toc498001360"/>
      <w:r>
        <w:rPr>
          <w:rFonts w:hint="eastAsia" w:ascii="仿宋" w:hAnsi="仿宋" w:eastAsia="仿宋" w:cs="仿宋"/>
          <w:snapToGrid w:val="0"/>
          <w:kern w:val="0"/>
          <w:sz w:val="30"/>
          <w:szCs w:val="30"/>
        </w:rPr>
        <w:t>本项目最高限价</w:t>
      </w:r>
      <w:r>
        <w:rPr>
          <w:rFonts w:hint="eastAsia" w:ascii="仿宋" w:hAnsi="仿宋" w:eastAsia="仿宋" w:cs="仿宋"/>
          <w:snapToGrid w:val="0"/>
          <w:kern w:val="0"/>
          <w:sz w:val="30"/>
          <w:szCs w:val="30"/>
          <w:u w:val="single"/>
          <w:lang w:val="en-US" w:eastAsia="zh-CN"/>
        </w:rPr>
        <w:t>13</w:t>
      </w:r>
      <w:r>
        <w:rPr>
          <w:rFonts w:hint="eastAsia" w:ascii="仿宋" w:hAnsi="仿宋" w:eastAsia="仿宋" w:cs="仿宋"/>
          <w:snapToGrid w:val="0"/>
          <w:kern w:val="0"/>
          <w:sz w:val="30"/>
          <w:szCs w:val="30"/>
        </w:rPr>
        <w:t>万元。</w:t>
      </w:r>
    </w:p>
    <w:p w14:paraId="590BDA07">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3.采购方式</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询价比选</w:t>
      </w:r>
      <w:r>
        <w:rPr>
          <w:rFonts w:hint="eastAsia" w:ascii="仿宋" w:hAnsi="仿宋" w:eastAsia="仿宋" w:cs="仿宋"/>
          <w:snapToGrid w:val="0"/>
          <w:kern w:val="0"/>
          <w:sz w:val="30"/>
          <w:szCs w:val="30"/>
          <w:lang w:eastAsia="zh-CN"/>
        </w:rPr>
        <w:t>，按</w:t>
      </w:r>
      <w:r>
        <w:rPr>
          <w:rFonts w:hint="eastAsia" w:ascii="仿宋" w:hAnsi="仿宋" w:eastAsia="仿宋" w:cs="仿宋"/>
          <w:snapToGrid w:val="0"/>
          <w:kern w:val="0"/>
          <w:sz w:val="30"/>
          <w:szCs w:val="30"/>
        </w:rPr>
        <w:t>综合评标法评定。</w:t>
      </w:r>
    </w:p>
    <w:p w14:paraId="600BCDB2">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（四）投标</w:t>
      </w:r>
      <w:bookmarkEnd w:id="6"/>
      <w:bookmarkEnd w:id="7"/>
      <w:r>
        <w:rPr>
          <w:rFonts w:hint="eastAsia" w:ascii="楷体_GB2312" w:hAnsi="楷体_GB2312" w:eastAsia="楷体_GB2312" w:cs="楷体_GB2312"/>
          <w:b/>
          <w:bCs/>
          <w:snapToGrid w:val="0"/>
          <w:kern w:val="0"/>
          <w:sz w:val="32"/>
          <w:szCs w:val="32"/>
        </w:rPr>
        <w:t>要求</w:t>
      </w:r>
    </w:p>
    <w:p w14:paraId="4A227ECF">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14:paraId="50B7A0F9">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1.商务文件：</w:t>
      </w:r>
    </w:p>
    <w:p w14:paraId="02F580F4">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（1）有关承诺函；</w:t>
      </w:r>
    </w:p>
    <w:p w14:paraId="0C2E22A6">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（2）报价单；</w:t>
      </w:r>
    </w:p>
    <w:p w14:paraId="7B00E133">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（3）营业执照</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法人证书</w:t>
      </w:r>
      <w:r>
        <w:rPr>
          <w:rFonts w:hint="eastAsia" w:ascii="仿宋" w:hAnsi="仿宋" w:eastAsia="仿宋" w:cs="仿宋"/>
          <w:snapToGrid w:val="0"/>
          <w:kern w:val="0"/>
          <w:sz w:val="30"/>
          <w:szCs w:val="30"/>
          <w:lang w:eastAsia="zh-CN"/>
        </w:rPr>
        <w:t>）</w:t>
      </w:r>
      <w:r>
        <w:rPr>
          <w:rFonts w:hint="eastAsia" w:ascii="仿宋" w:hAnsi="仿宋" w:eastAsia="仿宋" w:cs="仿宋"/>
          <w:snapToGrid w:val="0"/>
          <w:kern w:val="0"/>
          <w:sz w:val="30"/>
          <w:szCs w:val="30"/>
        </w:rPr>
        <w:t>复印件；</w:t>
      </w:r>
    </w:p>
    <w:p w14:paraId="27AAC741">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（4）法定代表人授权委托书；</w:t>
      </w:r>
    </w:p>
    <w:p w14:paraId="0F1E80D4">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（5）法定代表人有效身份证复印件；</w:t>
      </w:r>
    </w:p>
    <w:p w14:paraId="2DF5A2DF">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lang w:eastAsia="zh-CN"/>
        </w:rPr>
      </w:pPr>
      <w:r>
        <w:rPr>
          <w:rFonts w:hint="eastAsia" w:ascii="仿宋" w:hAnsi="仿宋" w:eastAsia="仿宋" w:cs="仿宋"/>
          <w:snapToGrid w:val="0"/>
          <w:kern w:val="0"/>
          <w:sz w:val="30"/>
          <w:szCs w:val="30"/>
        </w:rPr>
        <w:t>（6）委托代理人有效身份证复印件（若有）</w:t>
      </w:r>
      <w:r>
        <w:rPr>
          <w:rFonts w:hint="eastAsia" w:ascii="仿宋" w:hAnsi="仿宋" w:eastAsia="仿宋" w:cs="仿宋"/>
          <w:snapToGrid w:val="0"/>
          <w:kern w:val="0"/>
          <w:sz w:val="30"/>
          <w:szCs w:val="30"/>
          <w:lang w:eastAsia="zh-CN"/>
        </w:rPr>
        <w:t>。</w:t>
      </w:r>
    </w:p>
    <w:p w14:paraId="056469FE">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2.技术文件：</w:t>
      </w:r>
    </w:p>
    <w:p w14:paraId="2AB53385">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（1）提交项目整体服务方案和项目实施计划，对本采购文件“项目技术要求”进行回应。</w:t>
      </w:r>
    </w:p>
    <w:p w14:paraId="518E2A61">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 w:hAnsi="仿宋" w:eastAsia="仿宋" w:cs="仿宋"/>
          <w:snapToGrid w:val="0"/>
          <w:kern w:val="0"/>
          <w:sz w:val="30"/>
          <w:szCs w:val="30"/>
        </w:rPr>
      </w:pPr>
      <w:r>
        <w:rPr>
          <w:rFonts w:hint="eastAsia" w:ascii="仿宋" w:hAnsi="仿宋" w:eastAsia="仿宋" w:cs="仿宋"/>
          <w:snapToGrid w:val="0"/>
          <w:kern w:val="0"/>
          <w:sz w:val="30"/>
          <w:szCs w:val="30"/>
        </w:rPr>
        <w:t>（2）供应商认为应提交的其他文件。</w:t>
      </w:r>
    </w:p>
    <w:p w14:paraId="33E10870">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二、项目内容及要求</w:t>
      </w:r>
      <w:bookmarkEnd w:id="2"/>
      <w:bookmarkEnd w:id="3"/>
      <w:bookmarkStart w:id="8" w:name="_Toc498001265"/>
      <w:bookmarkStart w:id="9" w:name="_Toc351982587"/>
      <w:bookmarkStart w:id="10" w:name="_Toc498001364"/>
      <w:bookmarkStart w:id="11" w:name="_Toc362425411"/>
      <w:bookmarkStart w:id="12" w:name="_Toc363110617"/>
    </w:p>
    <w:p w14:paraId="686EB558">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jc w:val="both"/>
        <w:textAlignment w:val="auto"/>
        <w:outlineLvl w:val="9"/>
        <w:rPr>
          <w:rFonts w:hint="eastAsia" w:ascii="楷体_GB2312" w:hAnsi="楷体_GB2312" w:eastAsia="楷体_GB2312" w:cs="楷体_GB2312"/>
          <w:b/>
          <w:bCs/>
          <w:snapToGrid w:val="0"/>
          <w:kern w:val="0"/>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（一）项目概述</w:t>
      </w:r>
    </w:p>
    <w:p w14:paraId="36007C80">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00" w:firstLineChars="200"/>
        <w:jc w:val="both"/>
        <w:textAlignment w:val="auto"/>
        <w:outlineLvl w:val="9"/>
        <w:rPr>
          <w:rFonts w:hint="eastAsia" w:eastAsia="仿宋_GB2312" w:cs="Times New Roman"/>
          <w:bCs/>
          <w:sz w:val="30"/>
          <w:szCs w:val="30"/>
          <w:lang w:val="en-US" w:eastAsia="zh-CN"/>
        </w:rPr>
      </w:pPr>
      <w:r>
        <w:rPr>
          <w:rFonts w:hint="eastAsia" w:eastAsia="仿宋_GB2312" w:cs="Times New Roman"/>
          <w:bCs/>
          <w:sz w:val="30"/>
          <w:szCs w:val="30"/>
          <w:lang w:val="en-US" w:eastAsia="zh-CN"/>
        </w:rPr>
        <w:t>根据总局《市场监管总局办公厅关于举办第六届全国市场监管系统经营主体数据分析大赛的通知》（市监注函〔2025〕196号）工作部署，为深入挖掘经营主体数据价值，积极推进智慧监管，更好服务宏观决策，总局决定举办第六届全国市场监管系统经营主体数据分析大赛。按照总局要求及上届大赛安排，参赛需完成团队宣传视频拍摄、选题研究、数据模型构建、竞赛视频制作等工作。</w:t>
      </w:r>
    </w:p>
    <w:bookmarkEnd w:id="8"/>
    <w:bookmarkEnd w:id="9"/>
    <w:bookmarkEnd w:id="10"/>
    <w:bookmarkEnd w:id="11"/>
    <w:bookmarkEnd w:id="12"/>
    <w:p w14:paraId="5EB16DC1">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（二）项目技术要求</w:t>
      </w:r>
    </w:p>
    <w:p w14:paraId="5DBABDCF">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.供应商充分利用自身已有的经验积累，科学合理地统筹分工、尽心尽责，调动所有工作人员积极、认真地完成活动。</w:t>
      </w:r>
    </w:p>
    <w:p w14:paraId="11923089">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2</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2.</w:t>
      </w:r>
      <w:r>
        <w:rPr>
          <w:rFonts w:hint="eastAsia" w:ascii="仿宋_GB2312" w:hAnsi="仿宋_GB2312" w:eastAsia="仿宋_GB2312" w:cs="仿宋_GB2312"/>
          <w:snapToGrid w:val="0"/>
          <w:kern w:val="0"/>
          <w:sz w:val="30"/>
          <w:szCs w:val="30"/>
        </w:rPr>
        <w:t>供应商应当按采购人的要求及时提交</w:t>
      </w:r>
      <w:r>
        <w:rPr>
          <w:rFonts w:hint="eastAsia" w:ascii="仿宋_GB2312" w:hAnsi="仿宋_GB2312" w:eastAsia="仿宋_GB2312" w:cs="仿宋_GB2312"/>
          <w:snapToGrid w:val="0"/>
          <w:kern w:val="0"/>
          <w:sz w:val="30"/>
          <w:szCs w:val="30"/>
          <w:lang w:val="en-US" w:eastAsia="zh-CN"/>
        </w:rPr>
        <w:t>项目实施</w:t>
      </w:r>
      <w:r>
        <w:rPr>
          <w:rFonts w:hint="eastAsia" w:ascii="仿宋_GB2312" w:hAnsi="仿宋_GB2312" w:eastAsia="仿宋_GB2312" w:cs="仿宋_GB2312"/>
          <w:snapToGrid w:val="0"/>
          <w:kern w:val="0"/>
          <w:sz w:val="30"/>
          <w:szCs w:val="30"/>
        </w:rPr>
        <w:t>方案，采购人有权根据具体情况对</w:t>
      </w:r>
      <w:r>
        <w:rPr>
          <w:rFonts w:hint="eastAsia" w:ascii="仿宋_GB2312" w:hAnsi="仿宋_GB2312" w:eastAsia="仿宋_GB2312" w:cs="仿宋_GB2312"/>
          <w:snapToGrid w:val="0"/>
          <w:kern w:val="0"/>
          <w:sz w:val="30"/>
          <w:szCs w:val="30"/>
          <w:lang w:val="en-US" w:eastAsia="zh-CN"/>
        </w:rPr>
        <w:t>项目</w:t>
      </w:r>
      <w:r>
        <w:rPr>
          <w:rFonts w:hint="eastAsia" w:ascii="仿宋_GB2312" w:hAnsi="仿宋_GB2312" w:eastAsia="仿宋_GB2312" w:cs="仿宋_GB2312"/>
          <w:snapToGrid w:val="0"/>
          <w:kern w:val="0"/>
          <w:sz w:val="30"/>
          <w:szCs w:val="30"/>
        </w:rPr>
        <w:t>的整体安排、细节内容提出修改意见和建议，供应商应当据此进行相应的修改和调整</w:t>
      </w:r>
      <w:r>
        <w:rPr>
          <w:rFonts w:hint="eastAsia" w:ascii="仿宋_GB2312" w:hAnsi="仿宋_GB2312" w:eastAsia="仿宋_GB2312" w:cs="仿宋_GB2312"/>
          <w:snapToGrid w:val="0"/>
          <w:kern w:val="0"/>
          <w:sz w:val="30"/>
          <w:szCs w:val="30"/>
          <w:lang w:eastAsia="zh-CN"/>
        </w:rPr>
        <w:t>。</w:t>
      </w:r>
    </w:p>
    <w:p w14:paraId="4AA6A548">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default"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3</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3.供应商应按《中华人民共和国劳动法》有关要求及国家和福建省有关规定切实保障项目组所有成员的合法权益，项目组成员在项目实施期间因事故、意外等任何原因所发生的一切人身、精神、财产或其他伤害（或损害）等赔偿责任均由中标人承担与采购人无关。</w:t>
      </w:r>
    </w:p>
    <w:p w14:paraId="10FAC546">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（项号4）4.供应商应当按采购人的要求，研究成果应突出问题导向。内容紧扣各选题要求，围绕当前工作中的难点重点及前沿性问题。</w:t>
      </w:r>
    </w:p>
    <w:p w14:paraId="17138A94">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lang w:val="en-US" w:eastAsia="zh-CN"/>
        </w:rPr>
        <w:t>（项号5）5.供应商完成的参赛作品应能突出研究成果的应用性，分析结果可用于指导实践，促进经济发展，力求对党委、政府决策有一定参考价值。</w:t>
      </w:r>
    </w:p>
    <w:p w14:paraId="4D8CEF38">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lang w:val="en-US" w:eastAsia="zh-CN"/>
        </w:rPr>
      </w:pPr>
      <w:r>
        <w:rPr>
          <w:rFonts w:hint="eastAsia" w:ascii="仿宋_GB2312" w:hAnsi="仿宋_GB2312" w:eastAsia="仿宋_GB2312" w:cs="仿宋_GB2312"/>
          <w:snapToGrid w:val="0"/>
          <w:kern w:val="0"/>
          <w:sz w:val="30"/>
          <w:szCs w:val="30"/>
        </w:rPr>
        <w:t>（项号</w:t>
      </w:r>
      <w:r>
        <w:rPr>
          <w:rFonts w:hint="eastAsia" w:ascii="仿宋_GB2312" w:hAnsi="仿宋_GB2312" w:eastAsia="仿宋_GB2312" w:cs="仿宋_GB2312"/>
          <w:snapToGrid w:val="0"/>
          <w:kern w:val="0"/>
          <w:sz w:val="30"/>
          <w:szCs w:val="30"/>
          <w:lang w:val="en-US" w:eastAsia="zh-CN"/>
        </w:rPr>
        <w:t>6</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lang w:val="en-US" w:eastAsia="zh-CN"/>
        </w:rPr>
        <w:t>6.视频制作要求：</w:t>
      </w:r>
    </w:p>
    <w:p w14:paraId="316BD863">
      <w:pPr>
        <w:keepNext w:val="0"/>
        <w:keepLines w:val="0"/>
        <w:pageBreakBefore w:val="0"/>
        <w:widowControl w:val="0"/>
        <w:kinsoku/>
        <w:wordWrap/>
        <w:overflowPunct w:val="0"/>
        <w:topLinePunct w:val="0"/>
        <w:autoSpaceDE/>
        <w:autoSpaceDN/>
        <w:bidi w:val="0"/>
        <w:adjustRightInd w:val="0"/>
        <w:snapToGrid w:val="0"/>
        <w:spacing w:line="576" w:lineRule="exact"/>
        <w:ind w:firstLine="900" w:firstLineChars="300"/>
        <w:jc w:val="both"/>
        <w:textAlignment w:val="auto"/>
        <w:rPr>
          <w:rFonts w:hint="eastAsia" w:ascii="仿宋_GB2312" w:hAnsi="仿宋_GB2312" w:eastAsia="仿宋_GB2312" w:cs="仿宋_GB2312"/>
          <w:snapToGrid w:val="0"/>
          <w:kern w:val="0"/>
          <w:sz w:val="30"/>
          <w:szCs w:val="30"/>
          <w:highlight w:val="none"/>
          <w:lang w:eastAsia="zh-CN"/>
        </w:rPr>
      </w:pPr>
      <w:r>
        <w:rPr>
          <w:rFonts w:hint="eastAsia" w:ascii="仿宋_GB2312" w:hAnsi="仿宋_GB2312" w:eastAsia="仿宋_GB2312" w:cs="仿宋_GB2312"/>
          <w:snapToGrid w:val="0"/>
          <w:kern w:val="0"/>
          <w:sz w:val="30"/>
          <w:szCs w:val="30"/>
          <w:lang w:val="en-US" w:eastAsia="zh-CN"/>
        </w:rPr>
        <w:t>6.1赛前视频：提交介绍的 mp4或mov格式短视频至甲方邮箱，视频（时长 60 秒左右）</w:t>
      </w:r>
      <w:r>
        <w:rPr>
          <w:rFonts w:hint="eastAsia" w:ascii="仿宋_GB2312" w:hAnsi="仿宋_GB2312" w:eastAsia="仿宋_GB2312" w:cs="仿宋_GB2312"/>
          <w:snapToGrid w:val="0"/>
          <w:kern w:val="0"/>
          <w:sz w:val="30"/>
          <w:szCs w:val="30"/>
          <w:highlight w:val="none"/>
          <w:lang w:eastAsia="zh-CN"/>
        </w:rPr>
        <w:t>。</w:t>
      </w:r>
    </w:p>
    <w:p w14:paraId="393B2B3F">
      <w:pPr>
        <w:keepNext w:val="0"/>
        <w:keepLines w:val="0"/>
        <w:pageBreakBefore w:val="0"/>
        <w:widowControl w:val="0"/>
        <w:kinsoku/>
        <w:wordWrap/>
        <w:overflowPunct w:val="0"/>
        <w:topLinePunct w:val="0"/>
        <w:autoSpaceDE/>
        <w:autoSpaceDN/>
        <w:bidi w:val="0"/>
        <w:adjustRightInd w:val="0"/>
        <w:snapToGrid w:val="0"/>
        <w:spacing w:line="576" w:lineRule="exact"/>
        <w:ind w:firstLine="900" w:firstLineChars="300"/>
        <w:jc w:val="both"/>
        <w:textAlignment w:val="auto"/>
        <w:rPr>
          <w:rFonts w:hint="eastAsia" w:ascii="仿宋_GB2312" w:hAnsi="仿宋_GB2312" w:eastAsia="仿宋_GB2312" w:cs="仿宋_GB2312"/>
          <w:snapToGrid w:val="0"/>
          <w:kern w:val="0"/>
          <w:sz w:val="30"/>
          <w:szCs w:val="30"/>
          <w:highlight w:val="none"/>
          <w:lang w:val="en-US" w:eastAsia="zh-CN"/>
        </w:rPr>
      </w:pPr>
      <w:r>
        <w:rPr>
          <w:rFonts w:hint="eastAsia" w:ascii="仿宋_GB2312" w:hAnsi="仿宋_GB2312" w:eastAsia="仿宋_GB2312" w:cs="仿宋_GB2312"/>
          <w:snapToGrid w:val="0"/>
          <w:kern w:val="0"/>
          <w:sz w:val="30"/>
          <w:szCs w:val="30"/>
          <w:highlight w:val="none"/>
          <w:lang w:val="en-US" w:eastAsia="zh-CN"/>
        </w:rPr>
        <w:t>6.2赛中演讲材料视频：数据挖掘分析成果和模型介绍，视频演示（时长 720秒左右）、图文讲解相结合的材料制作。</w:t>
      </w:r>
    </w:p>
    <w:p w14:paraId="3B2D2AED">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highlight w:val="none"/>
        </w:rPr>
      </w:pPr>
      <w:r>
        <w:rPr>
          <w:rFonts w:hint="eastAsia" w:ascii="楷体_GB2312" w:hAnsi="楷体_GB2312" w:eastAsia="楷体_GB2312" w:cs="楷体_GB2312"/>
          <w:b/>
          <w:bCs/>
          <w:snapToGrid w:val="0"/>
          <w:kern w:val="0"/>
          <w:sz w:val="32"/>
          <w:szCs w:val="32"/>
          <w:highlight w:val="none"/>
        </w:rPr>
        <w:t>（三</w:t>
      </w:r>
      <w:r>
        <w:rPr>
          <w:rFonts w:hint="eastAsia" w:ascii="楷体_GB2312" w:hAnsi="楷体_GB2312" w:eastAsia="楷体_GB2312" w:cs="楷体_GB2312"/>
          <w:b/>
          <w:bCs/>
          <w:snapToGrid w:val="0"/>
          <w:kern w:val="0"/>
          <w:sz w:val="32"/>
          <w:szCs w:val="32"/>
          <w:highlight w:val="none"/>
          <w:lang w:eastAsia="zh-CN"/>
        </w:rPr>
        <w:t>）</w:t>
      </w:r>
      <w:r>
        <w:rPr>
          <w:rFonts w:hint="eastAsia" w:ascii="楷体_GB2312" w:hAnsi="楷体_GB2312" w:eastAsia="楷体_GB2312" w:cs="楷体_GB2312"/>
          <w:b/>
          <w:bCs/>
          <w:snapToGrid w:val="0"/>
          <w:kern w:val="0"/>
          <w:sz w:val="32"/>
          <w:szCs w:val="32"/>
          <w:highlight w:val="none"/>
          <w:lang w:val="en-US" w:eastAsia="zh-CN"/>
        </w:rPr>
        <w:t>项目</w:t>
      </w:r>
      <w:r>
        <w:rPr>
          <w:rFonts w:hint="eastAsia" w:ascii="楷体_GB2312" w:hAnsi="楷体_GB2312" w:eastAsia="楷体_GB2312" w:cs="楷体_GB2312"/>
          <w:b/>
          <w:bCs/>
          <w:snapToGrid w:val="0"/>
          <w:kern w:val="0"/>
          <w:sz w:val="32"/>
          <w:szCs w:val="32"/>
          <w:highlight w:val="none"/>
        </w:rPr>
        <w:t>服务要求</w:t>
      </w:r>
    </w:p>
    <w:p w14:paraId="662D1B9D">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lang w:val="en-US" w:eastAsia="zh-CN"/>
        </w:rPr>
      </w:pPr>
      <w:r>
        <w:rPr>
          <w:rFonts w:hint="eastAsia" w:ascii="仿宋_GB2312" w:hAnsi="仿宋_GB2312" w:eastAsia="仿宋_GB2312" w:cs="仿宋_GB2312"/>
          <w:snapToGrid w:val="0"/>
          <w:kern w:val="0"/>
          <w:sz w:val="30"/>
          <w:szCs w:val="30"/>
          <w:lang w:eastAsia="zh-CN"/>
        </w:rPr>
        <w:t>★</w:t>
      </w:r>
      <w:r>
        <w:rPr>
          <w:rFonts w:hint="eastAsia" w:ascii="仿宋" w:hAnsi="仿宋" w:eastAsia="仿宋" w:cs="仿宋"/>
          <w:color w:val="000000"/>
          <w:kern w:val="0"/>
          <w:sz w:val="30"/>
          <w:szCs w:val="30"/>
          <w:lang w:eastAsia="zh-CN"/>
        </w:rPr>
        <w:t>1</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参赛主题策划服务。选定参赛主题并设计策划分析形式、分析方法，围绕当前工作中的难点重点及前沿性问题，注重与地域特色、行业产业特点、宏观经济等相结合，深度挖掘数据价值</w:t>
      </w:r>
      <w:r>
        <w:rPr>
          <w:rFonts w:hint="eastAsia" w:ascii="仿宋" w:hAnsi="仿宋" w:eastAsia="仿宋" w:cs="仿宋"/>
          <w:color w:val="000000"/>
          <w:kern w:val="0"/>
          <w:sz w:val="30"/>
          <w:szCs w:val="30"/>
          <w:lang w:val="en-US" w:eastAsia="zh-CN"/>
        </w:rPr>
        <w:t>。</w:t>
      </w:r>
    </w:p>
    <w:p w14:paraId="149EA0A2">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rPr>
      </w:pPr>
      <w:r>
        <w:rPr>
          <w:rFonts w:hint="eastAsia" w:ascii="仿宋_GB2312" w:hAnsi="仿宋_GB2312" w:eastAsia="仿宋_GB2312" w:cs="仿宋_GB2312"/>
          <w:snapToGrid w:val="0"/>
          <w:kern w:val="0"/>
          <w:sz w:val="30"/>
          <w:szCs w:val="30"/>
          <w:lang w:eastAsia="zh-CN"/>
        </w:rPr>
        <w:t>★</w:t>
      </w:r>
      <w:r>
        <w:rPr>
          <w:rFonts w:hint="eastAsia" w:ascii="仿宋" w:hAnsi="仿宋" w:eastAsia="仿宋" w:cs="仿宋"/>
          <w:b/>
          <w:bCs/>
          <w:color w:val="000000"/>
          <w:kern w:val="0"/>
          <w:sz w:val="30"/>
          <w:szCs w:val="30"/>
          <w:lang w:val="en-US" w:eastAsia="zh-CN"/>
        </w:rPr>
        <w:t>2</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数据建模分析。采集汇聚所需数据并运用科学量化分析方法，进行数据挖掘分析及数据建模，方法论清晰，充分使用数学建模、大数据等量化分析手段，挖掘数据背后的经济规律、识别潜在趋势。以经营主体登记数据为主，充分利用跨部门、跨领域相关数据交叉分</w:t>
      </w:r>
      <w:r>
        <w:rPr>
          <w:rFonts w:hint="eastAsia" w:ascii="仿宋" w:hAnsi="仿宋" w:eastAsia="仿宋" w:cs="仿宋"/>
          <w:color w:val="000000"/>
          <w:kern w:val="0"/>
          <w:sz w:val="30"/>
          <w:szCs w:val="30"/>
          <w:lang w:val="en-US" w:eastAsia="zh-CN"/>
        </w:rPr>
        <w:t>析</w:t>
      </w:r>
      <w:r>
        <w:rPr>
          <w:rFonts w:hint="eastAsia" w:ascii="仿宋" w:hAnsi="仿宋" w:eastAsia="仿宋" w:cs="仿宋"/>
          <w:color w:val="000000"/>
          <w:kern w:val="0"/>
          <w:sz w:val="30"/>
          <w:szCs w:val="30"/>
        </w:rPr>
        <w:t>。</w:t>
      </w:r>
    </w:p>
    <w:p w14:paraId="7ACBDB4A">
      <w:pPr>
        <w:keepNext w:val="0"/>
        <w:keepLines w:val="0"/>
        <w:pageBreakBefore w:val="0"/>
        <w:widowControl w:val="0"/>
        <w:kinsoku/>
        <w:wordWrap/>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rPr>
      </w:pPr>
      <w:r>
        <w:rPr>
          <w:rFonts w:hint="eastAsia" w:ascii="仿宋_GB2312" w:hAnsi="仿宋_GB2312" w:eastAsia="仿宋_GB2312" w:cs="仿宋_GB2312"/>
          <w:snapToGrid w:val="0"/>
          <w:kern w:val="0"/>
          <w:sz w:val="30"/>
          <w:szCs w:val="30"/>
          <w:lang w:eastAsia="zh-CN"/>
        </w:rPr>
        <w:t>★</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lang w:eastAsia="zh-CN"/>
        </w:rPr>
        <w:t>内容、视频制作服务。根据大赛要求，设计制作队伍的参赛介绍视频。基于数据建模分析结果</w:t>
      </w:r>
      <w:r>
        <w:rPr>
          <w:rFonts w:hint="eastAsia" w:ascii="仿宋" w:hAnsi="仿宋" w:eastAsia="仿宋" w:cs="仿宋"/>
          <w:color w:val="000000"/>
          <w:kern w:val="0"/>
          <w:sz w:val="30"/>
          <w:szCs w:val="30"/>
        </w:rPr>
        <w:t>，设计制作相应参赛演讲脚本</w:t>
      </w:r>
      <w:r>
        <w:rPr>
          <w:rFonts w:hint="eastAsia" w:ascii="仿宋" w:hAnsi="仿宋" w:eastAsia="仿宋" w:cs="仿宋"/>
          <w:color w:val="000000"/>
          <w:kern w:val="0"/>
          <w:sz w:val="30"/>
          <w:szCs w:val="30"/>
          <w:lang w:eastAsia="zh-CN"/>
        </w:rPr>
        <w:t>及配套幻灯片、视频等</w:t>
      </w:r>
      <w:r>
        <w:rPr>
          <w:rFonts w:hint="eastAsia" w:ascii="仿宋" w:hAnsi="仿宋" w:eastAsia="仿宋" w:cs="仿宋"/>
          <w:sz w:val="30"/>
          <w:szCs w:val="30"/>
        </w:rPr>
        <w:t>。</w:t>
      </w:r>
    </w:p>
    <w:p w14:paraId="740A06AC">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rPr>
        <w:t>（四）验收要求</w:t>
      </w:r>
    </w:p>
    <w:p w14:paraId="2FF9A2DA">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成交供应商所提供的材料不违反国家相关法律法规，所有文件格式符合合同要求；交付的条目数量以采购人要求发送的格式和版本为标准，并符合招标文件的要求。验收时由乙方和采购人共同对</w:t>
      </w:r>
      <w:r>
        <w:rPr>
          <w:rFonts w:hint="eastAsia" w:ascii="仿宋_GB2312" w:hAnsi="仿宋_GB2312" w:eastAsia="仿宋_GB2312" w:cs="仿宋_GB2312"/>
          <w:snapToGrid w:val="0"/>
          <w:kern w:val="0"/>
          <w:sz w:val="30"/>
          <w:szCs w:val="30"/>
          <w:lang w:val="en-US" w:eastAsia="zh-CN"/>
        </w:rPr>
        <w:t>项目</w:t>
      </w:r>
      <w:r>
        <w:rPr>
          <w:rFonts w:hint="eastAsia" w:ascii="仿宋_GB2312" w:hAnsi="仿宋_GB2312" w:eastAsia="仿宋_GB2312" w:cs="仿宋_GB2312"/>
          <w:snapToGrid w:val="0"/>
          <w:kern w:val="0"/>
          <w:sz w:val="30"/>
          <w:szCs w:val="30"/>
        </w:rPr>
        <w:t>质量等根据</w:t>
      </w:r>
      <w:r>
        <w:rPr>
          <w:rFonts w:hint="eastAsia" w:ascii="仿宋_GB2312" w:hAnsi="仿宋_GB2312" w:eastAsia="仿宋_GB2312" w:cs="仿宋_GB2312"/>
          <w:snapToGrid w:val="0"/>
          <w:kern w:val="0"/>
          <w:sz w:val="30"/>
          <w:szCs w:val="30"/>
          <w:lang w:val="en-US" w:eastAsia="zh-CN"/>
        </w:rPr>
        <w:t>采购</w:t>
      </w:r>
      <w:r>
        <w:rPr>
          <w:rFonts w:hint="eastAsia" w:ascii="仿宋_GB2312" w:hAnsi="仿宋_GB2312" w:eastAsia="仿宋_GB2312" w:cs="仿宋_GB2312"/>
          <w:snapToGrid w:val="0"/>
          <w:kern w:val="0"/>
          <w:sz w:val="30"/>
          <w:szCs w:val="30"/>
        </w:rPr>
        <w:t>文件的有关规定逐项检验。</w:t>
      </w:r>
    </w:p>
    <w:p w14:paraId="02880732">
      <w:pPr>
        <w:spacing w:line="590" w:lineRule="exact"/>
        <w:ind w:firstLine="576" w:firstLineChars="200"/>
        <w:rPr>
          <w:rFonts w:hint="eastAsia" w:ascii="仿宋" w:hAnsi="仿宋" w:eastAsia="仿宋" w:cs="仿宋"/>
          <w:kern w:val="2"/>
          <w:sz w:val="30"/>
          <w:szCs w:val="30"/>
          <w:u w:val="none"/>
          <w:lang w:val="en-US" w:eastAsia="zh-CN" w:bidi="ar-SA"/>
        </w:rPr>
      </w:pPr>
      <w:r>
        <w:rPr>
          <w:rFonts w:hint="eastAsia" w:ascii="仿宋_GB2312" w:hAnsi="仿宋_GB2312" w:eastAsia="仿宋_GB2312" w:cs="仿宋_GB2312"/>
          <w:snapToGrid w:val="0"/>
          <w:spacing w:val="-6"/>
          <w:kern w:val="0"/>
          <w:sz w:val="30"/>
          <w:szCs w:val="30"/>
        </w:rPr>
        <w:t>若验收不能符合要求，采购人将按合同条款的有关规定执行。</w:t>
      </w:r>
    </w:p>
    <w:p w14:paraId="41FEDE4B">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w:t>
      </w:r>
      <w:r>
        <w:rPr>
          <w:rFonts w:hint="eastAsia" w:ascii="楷体_GB2312" w:hAnsi="楷体_GB2312" w:eastAsia="楷体_GB2312" w:cs="楷体_GB2312"/>
          <w:b/>
          <w:bCs/>
          <w:snapToGrid w:val="0"/>
          <w:kern w:val="0"/>
          <w:sz w:val="32"/>
          <w:szCs w:val="32"/>
          <w:lang w:val="en-US" w:eastAsia="zh-CN"/>
        </w:rPr>
        <w:t>五</w:t>
      </w:r>
      <w:r>
        <w:rPr>
          <w:rFonts w:hint="eastAsia" w:ascii="楷体_GB2312" w:hAnsi="楷体_GB2312" w:eastAsia="楷体_GB2312" w:cs="楷体_GB2312"/>
          <w:b/>
          <w:bCs/>
          <w:snapToGrid w:val="0"/>
          <w:kern w:val="0"/>
          <w:sz w:val="32"/>
          <w:szCs w:val="32"/>
          <w:lang w:eastAsia="zh-CN"/>
        </w:rPr>
        <w:t>）</w:t>
      </w:r>
      <w:r>
        <w:rPr>
          <w:rFonts w:hint="eastAsia" w:ascii="楷体_GB2312" w:hAnsi="楷体_GB2312" w:eastAsia="楷体_GB2312" w:cs="楷体_GB2312"/>
          <w:b/>
          <w:bCs/>
          <w:snapToGrid w:val="0"/>
          <w:kern w:val="0"/>
          <w:sz w:val="32"/>
          <w:szCs w:val="32"/>
        </w:rPr>
        <w:t>项目付款方式</w:t>
      </w:r>
    </w:p>
    <w:p w14:paraId="2C3AE4DA">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成交供应商与采购人签订合同后</w:t>
      </w:r>
      <w:r>
        <w:rPr>
          <w:rFonts w:hint="eastAsia" w:ascii="仿宋_GB2312" w:hAnsi="仿宋_GB2312" w:eastAsia="仿宋_GB2312" w:cs="仿宋_GB2312"/>
          <w:kern w:val="2"/>
          <w:sz w:val="32"/>
          <w:szCs w:val="32"/>
          <w:u w:val="none"/>
          <w:lang w:val="en-US" w:eastAsia="zh-CN" w:bidi="ar-SA"/>
        </w:rPr>
        <w:t>30日内</w:t>
      </w:r>
      <w:r>
        <w:rPr>
          <w:rFonts w:hint="eastAsia" w:ascii="仿宋_GB2312" w:hAnsi="仿宋_GB2312" w:eastAsia="仿宋_GB2312" w:cs="仿宋_GB2312"/>
          <w:snapToGrid w:val="0"/>
          <w:kern w:val="0"/>
          <w:sz w:val="30"/>
          <w:szCs w:val="30"/>
        </w:rPr>
        <w:t>，采购人向成交供应商转账支付50%项目费用。成交供应商完成本项目要求的所有成果并通过采购人验收后</w:t>
      </w:r>
      <w:r>
        <w:rPr>
          <w:rFonts w:hint="eastAsia" w:ascii="仿宋_GB2312" w:hAnsi="仿宋_GB2312" w:eastAsia="仿宋_GB2312" w:cs="仿宋_GB2312"/>
          <w:snapToGrid w:val="0"/>
          <w:kern w:val="0"/>
          <w:sz w:val="30"/>
          <w:szCs w:val="30"/>
          <w:lang w:val="en-US" w:eastAsia="zh-CN"/>
        </w:rPr>
        <w:t>30</w:t>
      </w:r>
      <w:r>
        <w:rPr>
          <w:rFonts w:hint="eastAsia" w:ascii="仿宋_GB2312" w:hAnsi="仿宋_GB2312" w:eastAsia="仿宋_GB2312" w:cs="仿宋_GB2312"/>
          <w:snapToGrid w:val="0"/>
          <w:kern w:val="0"/>
          <w:sz w:val="30"/>
          <w:szCs w:val="30"/>
        </w:rPr>
        <w:t>日内，采购人向成交供应商转账支付余下50%费用。</w:t>
      </w:r>
    </w:p>
    <w:p w14:paraId="4629B656">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13" w:name="_Toc498001368"/>
      <w:bookmarkStart w:id="14" w:name="_Toc498001269"/>
      <w:r>
        <w:rPr>
          <w:rFonts w:hint="eastAsia" w:ascii="楷体_GB2312" w:hAnsi="楷体_GB2312" w:eastAsia="楷体_GB2312" w:cs="楷体_GB2312"/>
          <w:b/>
          <w:bCs/>
          <w:snapToGrid w:val="0"/>
          <w:kern w:val="0"/>
          <w:sz w:val="32"/>
          <w:szCs w:val="32"/>
        </w:rPr>
        <w:t>（六）项目服务期限</w:t>
      </w:r>
      <w:bookmarkEnd w:id="13"/>
      <w:bookmarkEnd w:id="14"/>
    </w:p>
    <w:p w14:paraId="41E904E2">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 xml:space="preserve"> 项目总体时间：具体时间</w:t>
      </w:r>
      <w:r>
        <w:rPr>
          <w:rFonts w:hint="eastAsia" w:ascii="仿宋_GB2312" w:hAnsi="仿宋_GB2312" w:eastAsia="仿宋_GB2312" w:cs="仿宋_GB2312"/>
          <w:snapToGrid w:val="0"/>
          <w:kern w:val="0"/>
          <w:sz w:val="30"/>
          <w:szCs w:val="30"/>
          <w:lang w:eastAsia="zh-CN"/>
        </w:rPr>
        <w:t>以</w:t>
      </w:r>
      <w:r>
        <w:rPr>
          <w:rFonts w:hint="eastAsia" w:ascii="仿宋_GB2312" w:hAnsi="仿宋_GB2312" w:eastAsia="仿宋_GB2312" w:cs="仿宋_GB2312"/>
          <w:snapToGrid w:val="0"/>
          <w:kern w:val="0"/>
          <w:sz w:val="30"/>
          <w:szCs w:val="30"/>
        </w:rPr>
        <w:t>甲乙双方协商的时间为准</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 xml:space="preserve">  </w:t>
      </w:r>
    </w:p>
    <w:p w14:paraId="2000979C">
      <w:pPr>
        <w:keepNext w:val="0"/>
        <w:keepLines w:val="0"/>
        <w:pageBreakBefore w:val="0"/>
        <w:widowControl w:val="0"/>
        <w:kinsoku/>
        <w:wordWrap/>
        <w:overflowPunct w:val="0"/>
        <w:topLinePunct w:val="0"/>
        <w:autoSpaceDE/>
        <w:autoSpaceDN/>
        <w:bidi w:val="0"/>
        <w:adjustRightInd w:val="0"/>
        <w:snapToGrid w:val="0"/>
        <w:spacing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bookmarkStart w:id="15" w:name="_Toc498001270"/>
      <w:bookmarkStart w:id="16" w:name="_Toc498001369"/>
      <w:bookmarkStart w:id="17" w:name="_Toc430180167"/>
      <w:bookmarkStart w:id="18" w:name="_Toc421023430"/>
      <w:bookmarkStart w:id="19" w:name="_Toc450320513"/>
      <w:bookmarkStart w:id="20" w:name="_Toc419485053"/>
      <w:bookmarkStart w:id="21" w:name="_Toc455746742"/>
      <w:r>
        <w:rPr>
          <w:rFonts w:hint="eastAsia" w:ascii="楷体_GB2312" w:hAnsi="楷体_GB2312" w:eastAsia="楷体_GB2312" w:cs="楷体_GB2312"/>
          <w:b/>
          <w:bCs/>
          <w:snapToGrid w:val="0"/>
          <w:kern w:val="0"/>
          <w:sz w:val="32"/>
          <w:szCs w:val="32"/>
        </w:rPr>
        <w:t>（七）违约责任</w:t>
      </w:r>
      <w:bookmarkEnd w:id="15"/>
      <w:bookmarkEnd w:id="16"/>
      <w:bookmarkEnd w:id="17"/>
      <w:bookmarkEnd w:id="18"/>
      <w:bookmarkEnd w:id="19"/>
      <w:bookmarkEnd w:id="20"/>
      <w:bookmarkEnd w:id="21"/>
    </w:p>
    <w:p w14:paraId="312C476E">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1.因成交供应商原因造成采购合同无法按时签订，视为成交供应商违约，成交供应商违约对采购人造成的损失的，需另行支付相应的赔偿。</w:t>
      </w:r>
    </w:p>
    <w:p w14:paraId="4CC72E9B">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2.在签订采购合同之后，成交供应商要求解除合同的，视为成交供应商违约，对采购人造成损失的，成交供应商需支付相应的赔偿。</w:t>
      </w:r>
    </w:p>
    <w:p w14:paraId="36C86AF5">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3.因成交供应商原因发生重大质量事故，除依约承担赔偿责任外，还将按有关管理办法规定执行。同时，采购人有权保留更换成交供应商的权利，并报相关行政主管部门处罚。</w:t>
      </w:r>
    </w:p>
    <w:p w14:paraId="7498D5D6">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4E0E251A">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default" w:ascii="仿宋_GB2312" w:hAnsi="仿宋_GB2312" w:eastAsia="仿宋_GB2312" w:cs="仿宋_GB2312"/>
          <w:snapToGrid w:val="0"/>
          <w:kern w:val="0"/>
          <w:sz w:val="30"/>
          <w:szCs w:val="30"/>
          <w:highlight w:val="red"/>
          <w:lang w:val="en-US" w:eastAsia="zh-CN"/>
        </w:rPr>
      </w:pPr>
      <w:r>
        <w:rPr>
          <w:rFonts w:hint="eastAsia" w:ascii="仿宋_GB2312" w:hAnsi="仿宋_GB2312" w:eastAsia="仿宋_GB2312" w:cs="仿宋_GB2312"/>
          <w:snapToGrid w:val="0"/>
          <w:kern w:val="0"/>
          <w:sz w:val="30"/>
          <w:szCs w:val="30"/>
        </w:rPr>
        <w:t>5.若成交供应商未能按合同规定的时间或双方另行确定的延期项目实施期限按时完成的</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不可抗力除外</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，每逾期一</w:t>
      </w:r>
      <w:r>
        <w:rPr>
          <w:rFonts w:hint="eastAsia" w:ascii="仿宋_GB2312" w:hAnsi="仿宋_GB2312" w:eastAsia="仿宋_GB2312" w:cs="仿宋_GB2312"/>
          <w:snapToGrid w:val="0"/>
          <w:kern w:val="0"/>
          <w:sz w:val="30"/>
          <w:szCs w:val="30"/>
          <w:lang w:val="en-US" w:eastAsia="zh-CN"/>
        </w:rPr>
        <w:t>周</w:t>
      </w:r>
      <w:r>
        <w:rPr>
          <w:rFonts w:hint="eastAsia" w:ascii="仿宋_GB2312" w:hAnsi="仿宋_GB2312" w:eastAsia="仿宋_GB2312" w:cs="仿宋_GB2312"/>
          <w:snapToGrid w:val="0"/>
          <w:kern w:val="0"/>
          <w:sz w:val="30"/>
          <w:szCs w:val="30"/>
        </w:rPr>
        <w:t>，成交供应商应按项目金额的0.</w:t>
      </w:r>
      <w:r>
        <w:rPr>
          <w:rFonts w:hint="eastAsia" w:ascii="仿宋_GB2312" w:hAnsi="仿宋_GB2312" w:eastAsia="仿宋_GB2312" w:cs="仿宋_GB2312"/>
          <w:snapToGrid w:val="0"/>
          <w:kern w:val="0"/>
          <w:sz w:val="30"/>
          <w:szCs w:val="30"/>
          <w:lang w:val="en-US" w:eastAsia="zh-CN"/>
        </w:rPr>
        <w:t>05</w:t>
      </w:r>
      <w:r>
        <w:rPr>
          <w:rFonts w:hint="eastAsia" w:ascii="仿宋_GB2312" w:hAnsi="仿宋_GB2312" w:eastAsia="仿宋_GB2312" w:cs="仿宋_GB2312"/>
          <w:snapToGrid w:val="0"/>
          <w:kern w:val="0"/>
          <w:sz w:val="30"/>
          <w:szCs w:val="30"/>
        </w:rPr>
        <w:t>%向采购人支付逾期的违约金。若成交供应商逾期达15天</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含15天</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以上的，采购人有权单方解除本合同，成交供应商应</w:t>
      </w:r>
      <w:r>
        <w:rPr>
          <w:rFonts w:hint="eastAsia" w:ascii="仿宋_GB2312" w:hAnsi="仿宋_GB2312" w:eastAsia="仿宋_GB2312" w:cs="仿宋_GB2312"/>
          <w:snapToGrid w:val="0"/>
          <w:kern w:val="0"/>
          <w:sz w:val="30"/>
          <w:szCs w:val="30"/>
          <w:highlight w:val="none"/>
        </w:rPr>
        <w:t>按项目总金额的</w:t>
      </w:r>
      <w:r>
        <w:rPr>
          <w:rFonts w:hint="eastAsia" w:ascii="仿宋_GB2312" w:hAnsi="仿宋_GB2312" w:eastAsia="仿宋_GB2312" w:cs="仿宋_GB2312"/>
          <w:snapToGrid w:val="0"/>
          <w:kern w:val="0"/>
          <w:sz w:val="30"/>
          <w:szCs w:val="30"/>
          <w:highlight w:val="none"/>
          <w:lang w:val="en-US" w:eastAsia="zh-CN"/>
        </w:rPr>
        <w:t>1</w:t>
      </w:r>
      <w:r>
        <w:rPr>
          <w:rFonts w:hint="eastAsia" w:ascii="仿宋_GB2312" w:hAnsi="仿宋_GB2312" w:eastAsia="仿宋_GB2312" w:cs="仿宋_GB2312"/>
          <w:snapToGrid w:val="0"/>
          <w:kern w:val="0"/>
          <w:sz w:val="30"/>
          <w:szCs w:val="30"/>
          <w:highlight w:val="none"/>
        </w:rPr>
        <w:t>0%支付违约金。</w:t>
      </w:r>
      <w:r>
        <w:rPr>
          <w:rFonts w:hint="eastAsia" w:ascii="仿宋_GB2312" w:hAnsi="仿宋_GB2312" w:eastAsia="仿宋_GB2312" w:cs="仿宋_GB2312"/>
          <w:snapToGrid w:val="0"/>
          <w:kern w:val="0"/>
          <w:sz w:val="30"/>
          <w:szCs w:val="30"/>
        </w:rPr>
        <w:t>若因此给采购人造成损失的，还应赔偿采购人所受的损失。</w:t>
      </w:r>
    </w:p>
    <w:p w14:paraId="2CC55D8E">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6.成交供应商擅自转包的，采购人有权解除合同，且成交供应商应向采购人支付合同总金额</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rPr>
        <w:t>0%的违约金，对采购人造成的损失的，需另行支付相应的赔偿。</w:t>
      </w:r>
    </w:p>
    <w:p w14:paraId="34DEE003">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7.在明确违约责任后，成交供应商应在接到书面通知书起七天内支付违约金、赔偿金等。</w:t>
      </w:r>
    </w:p>
    <w:p w14:paraId="2500F76F">
      <w:pPr>
        <w:keepNext w:val="0"/>
        <w:keepLines w:val="0"/>
        <w:pageBreakBefore w:val="0"/>
        <w:widowControl w:val="0"/>
        <w:kinsoku/>
        <w:wordWrap/>
        <w:overflowPunct w:val="0"/>
        <w:topLinePunct w:val="0"/>
        <w:autoSpaceDE/>
        <w:autoSpaceDN/>
        <w:bidi w:val="0"/>
        <w:adjustRightInd w:val="0"/>
        <w:snapToGrid w:val="0"/>
        <w:spacing w:line="576" w:lineRule="exact"/>
        <w:ind w:firstLine="600" w:firstLineChars="200"/>
        <w:jc w:val="both"/>
        <w:textAlignment w:val="auto"/>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8.本次采购文件未明确的其他约定事项或条款，待采购人与成交供应商签订合同时，由双方协商订立。</w:t>
      </w:r>
    </w:p>
    <w:p w14:paraId="591D1624">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三、项目评分标准</w:t>
      </w:r>
    </w:p>
    <w:p w14:paraId="54FF5DA4">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（一）</w:t>
      </w:r>
      <w:r>
        <w:rPr>
          <w:rFonts w:hint="eastAsia" w:ascii="楷体_GB2312" w:hAnsi="楷体_GB2312" w:eastAsia="楷体_GB2312" w:cs="楷体_GB2312"/>
          <w:b/>
          <w:bCs/>
          <w:snapToGrid w:val="0"/>
          <w:kern w:val="0"/>
          <w:sz w:val="32"/>
          <w:szCs w:val="32"/>
        </w:rPr>
        <w:t>技术部分评分  满分</w:t>
      </w:r>
      <w:r>
        <w:rPr>
          <w:rFonts w:hint="eastAsia" w:ascii="楷体_GB2312" w:hAnsi="楷体_GB2312" w:eastAsia="楷体_GB2312" w:cs="楷体_GB2312"/>
          <w:b/>
          <w:bCs/>
          <w:snapToGrid w:val="0"/>
          <w:kern w:val="0"/>
          <w:sz w:val="32"/>
          <w:szCs w:val="32"/>
          <w:lang w:val="en-US" w:eastAsia="zh-CN"/>
        </w:rPr>
        <w:t>44</w:t>
      </w:r>
      <w:r>
        <w:rPr>
          <w:rFonts w:hint="eastAsia" w:ascii="楷体_GB2312" w:hAnsi="楷体_GB2312" w:eastAsia="楷体_GB2312" w:cs="楷体_GB2312"/>
          <w:b/>
          <w:bCs/>
          <w:snapToGrid w:val="0"/>
          <w:kern w:val="0"/>
          <w:sz w:val="32"/>
          <w:szCs w:val="32"/>
        </w:rPr>
        <w:t>分</w:t>
      </w:r>
    </w:p>
    <w:tbl>
      <w:tblPr>
        <w:tblStyle w:val="8"/>
        <w:tblW w:w="907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1423"/>
        <w:gridCol w:w="875"/>
        <w:gridCol w:w="5851"/>
      </w:tblGrid>
      <w:tr w14:paraId="0124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blHeader/>
          <w:jc w:val="center"/>
        </w:trPr>
        <w:tc>
          <w:tcPr>
            <w:tcW w:w="922" w:type="dxa"/>
            <w:vAlign w:val="center"/>
          </w:tcPr>
          <w:p w14:paraId="395ECE7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序号</w:t>
            </w:r>
          </w:p>
        </w:tc>
        <w:tc>
          <w:tcPr>
            <w:tcW w:w="1423" w:type="dxa"/>
            <w:vAlign w:val="center"/>
          </w:tcPr>
          <w:p w14:paraId="72D403C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项目</w:t>
            </w:r>
          </w:p>
        </w:tc>
        <w:tc>
          <w:tcPr>
            <w:tcW w:w="875" w:type="dxa"/>
            <w:vAlign w:val="center"/>
          </w:tcPr>
          <w:p w14:paraId="1D09C96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分值</w:t>
            </w:r>
          </w:p>
        </w:tc>
        <w:tc>
          <w:tcPr>
            <w:tcW w:w="5851" w:type="dxa"/>
            <w:vAlign w:val="center"/>
          </w:tcPr>
          <w:p w14:paraId="4121488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snapToGrid w:val="0"/>
                <w:kern w:val="0"/>
                <w:sz w:val="28"/>
                <w:szCs w:val="28"/>
                <w:lang w:bidi="ar"/>
              </w:rPr>
            </w:pPr>
            <w:r>
              <w:rPr>
                <w:rFonts w:hint="eastAsia" w:ascii="黑体" w:hAnsi="黑体" w:eastAsia="黑体" w:cs="黑体"/>
                <w:snapToGrid w:val="0"/>
                <w:kern w:val="0"/>
                <w:sz w:val="28"/>
                <w:szCs w:val="28"/>
                <w:lang w:bidi="ar"/>
              </w:rPr>
              <w:t>描述</w:t>
            </w:r>
          </w:p>
        </w:tc>
      </w:tr>
      <w:tr w14:paraId="1CF63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8" w:hRule="atLeast"/>
          <w:jc w:val="center"/>
        </w:trPr>
        <w:tc>
          <w:tcPr>
            <w:tcW w:w="922" w:type="dxa"/>
            <w:vAlign w:val="center"/>
          </w:tcPr>
          <w:p w14:paraId="503BD947">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1</w:t>
            </w:r>
          </w:p>
        </w:tc>
        <w:tc>
          <w:tcPr>
            <w:tcW w:w="1423" w:type="dxa"/>
            <w:vAlign w:val="center"/>
          </w:tcPr>
          <w:p w14:paraId="70CE29B9">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技术服务响应情况</w:t>
            </w:r>
          </w:p>
        </w:tc>
        <w:tc>
          <w:tcPr>
            <w:tcW w:w="875" w:type="dxa"/>
            <w:vAlign w:val="center"/>
          </w:tcPr>
          <w:p w14:paraId="0D35311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24</w:t>
            </w:r>
          </w:p>
        </w:tc>
        <w:tc>
          <w:tcPr>
            <w:tcW w:w="5851" w:type="dxa"/>
            <w:vAlign w:val="center"/>
          </w:tcPr>
          <w:p w14:paraId="7198372E">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ascii="仿宋_GB2312" w:hAnsi="仿宋_GB2312" w:eastAsia="仿宋_GB2312" w:cs="仿宋_GB2312"/>
                <w:snapToGrid w:val="0"/>
                <w:kern w:val="0"/>
                <w:sz w:val="28"/>
                <w:szCs w:val="28"/>
                <w:lang w:bidi="ar"/>
              </w:rPr>
              <w:t>根据供应商对本采购文件中“二、</w:t>
            </w:r>
            <w:r>
              <w:rPr>
                <w:rFonts w:hint="eastAsia" w:ascii="仿宋_GB2312" w:hAnsi="仿宋_GB2312" w:eastAsia="仿宋_GB2312" w:cs="仿宋_GB2312"/>
                <w:snapToGrid w:val="0"/>
                <w:kern w:val="0"/>
                <w:sz w:val="28"/>
                <w:szCs w:val="28"/>
                <w:lang w:val="en-US" w:eastAsia="zh-CN" w:bidi="ar"/>
              </w:rPr>
              <w:t>项目</w:t>
            </w:r>
            <w:r>
              <w:rPr>
                <w:rFonts w:ascii="仿宋_GB2312" w:hAnsi="仿宋_GB2312" w:eastAsia="仿宋_GB2312" w:cs="仿宋_GB2312"/>
                <w:snapToGrid w:val="0"/>
                <w:kern w:val="0"/>
                <w:sz w:val="28"/>
                <w:szCs w:val="28"/>
                <w:lang w:bidi="ar"/>
              </w:rPr>
              <w:t>技术要求”的逐项应答情况并结合相关佐证材料（若有）进行评分：带“★”若负偏离任意一项按无效标处理。未带“★”（共</w:t>
            </w:r>
            <w:r>
              <w:rPr>
                <w:rFonts w:hint="eastAsia" w:ascii="仿宋_GB2312" w:hAnsi="仿宋_GB2312" w:eastAsia="仿宋_GB2312" w:cs="仿宋_GB2312"/>
                <w:snapToGrid w:val="0"/>
                <w:kern w:val="0"/>
                <w:sz w:val="28"/>
                <w:szCs w:val="28"/>
                <w:lang w:val="en-US" w:eastAsia="zh-CN" w:bidi="ar"/>
              </w:rPr>
              <w:t>6</w:t>
            </w:r>
            <w:r>
              <w:rPr>
                <w:rFonts w:ascii="仿宋_GB2312" w:hAnsi="仿宋_GB2312" w:eastAsia="仿宋_GB2312" w:cs="仿宋_GB2312"/>
                <w:snapToGrid w:val="0"/>
                <w:kern w:val="0"/>
                <w:sz w:val="28"/>
                <w:szCs w:val="28"/>
                <w:lang w:bidi="ar"/>
              </w:rPr>
              <w:t>项）完全满足</w:t>
            </w:r>
            <w:r>
              <w:rPr>
                <w:rFonts w:hint="eastAsia" w:ascii="仿宋_GB2312" w:hAnsi="仿宋_GB2312" w:eastAsia="仿宋_GB2312" w:cs="仿宋_GB2312"/>
                <w:snapToGrid w:val="0"/>
                <w:kern w:val="0"/>
                <w:sz w:val="28"/>
                <w:szCs w:val="28"/>
                <w:lang w:val="en-US" w:eastAsia="zh-CN" w:bidi="ar"/>
              </w:rPr>
              <w:t>采购</w:t>
            </w:r>
            <w:r>
              <w:rPr>
                <w:rFonts w:ascii="仿宋_GB2312" w:hAnsi="仿宋_GB2312" w:eastAsia="仿宋_GB2312" w:cs="仿宋_GB2312"/>
                <w:snapToGrid w:val="0"/>
                <w:kern w:val="0"/>
                <w:sz w:val="28"/>
                <w:szCs w:val="28"/>
                <w:lang w:bidi="ar"/>
              </w:rPr>
              <w:t>文件要求得</w:t>
            </w:r>
            <w:r>
              <w:rPr>
                <w:rFonts w:hint="eastAsia" w:ascii="仿宋_GB2312" w:hAnsi="仿宋_GB2312" w:eastAsia="仿宋_GB2312" w:cs="仿宋_GB2312"/>
                <w:snapToGrid w:val="0"/>
                <w:kern w:val="0"/>
                <w:sz w:val="28"/>
                <w:szCs w:val="28"/>
                <w:lang w:val="en-US" w:eastAsia="zh-CN" w:bidi="ar"/>
              </w:rPr>
              <w:t>24</w:t>
            </w:r>
            <w:r>
              <w:rPr>
                <w:rFonts w:ascii="仿宋_GB2312" w:hAnsi="仿宋_GB2312" w:eastAsia="仿宋_GB2312" w:cs="仿宋_GB2312"/>
                <w:snapToGrid w:val="0"/>
                <w:kern w:val="0"/>
                <w:sz w:val="28"/>
                <w:szCs w:val="28"/>
                <w:lang w:bidi="ar"/>
              </w:rPr>
              <w:t>分，每负偏离一项扣</w:t>
            </w:r>
            <w:r>
              <w:rPr>
                <w:rFonts w:hint="eastAsia" w:ascii="仿宋_GB2312" w:hAnsi="仿宋_GB2312" w:eastAsia="仿宋_GB2312" w:cs="仿宋_GB2312"/>
                <w:snapToGrid w:val="0"/>
                <w:kern w:val="0"/>
                <w:sz w:val="28"/>
                <w:szCs w:val="28"/>
                <w:lang w:val="en-US" w:eastAsia="zh-CN" w:bidi="ar"/>
              </w:rPr>
              <w:t>4</w:t>
            </w:r>
            <w:r>
              <w:rPr>
                <w:rFonts w:ascii="仿宋_GB2312" w:hAnsi="仿宋_GB2312" w:eastAsia="仿宋_GB2312" w:cs="仿宋_GB2312"/>
                <w:snapToGrid w:val="0"/>
                <w:kern w:val="0"/>
                <w:sz w:val="28"/>
                <w:szCs w:val="28"/>
                <w:lang w:bidi="ar"/>
              </w:rPr>
              <w:t>分；正偏离不加分。</w:t>
            </w:r>
          </w:p>
        </w:tc>
      </w:tr>
      <w:tr w14:paraId="0C0D0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96" w:hRule="atLeast"/>
          <w:jc w:val="center"/>
        </w:trPr>
        <w:tc>
          <w:tcPr>
            <w:tcW w:w="922" w:type="dxa"/>
            <w:vAlign w:val="center"/>
          </w:tcPr>
          <w:p w14:paraId="07F41DA2">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2</w:t>
            </w:r>
          </w:p>
        </w:tc>
        <w:tc>
          <w:tcPr>
            <w:tcW w:w="1423" w:type="dxa"/>
            <w:vAlign w:val="center"/>
          </w:tcPr>
          <w:p w14:paraId="1DF1A128">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napToGrid w:val="0"/>
                <w:kern w:val="0"/>
                <w:sz w:val="30"/>
                <w:szCs w:val="30"/>
              </w:rPr>
              <w:t>项目整体服务方案</w:t>
            </w:r>
          </w:p>
        </w:tc>
        <w:tc>
          <w:tcPr>
            <w:tcW w:w="875" w:type="dxa"/>
            <w:vAlign w:val="center"/>
          </w:tcPr>
          <w:p w14:paraId="7A4E47E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7</w:t>
            </w:r>
          </w:p>
        </w:tc>
        <w:tc>
          <w:tcPr>
            <w:tcW w:w="5851" w:type="dxa"/>
            <w:vAlign w:val="center"/>
          </w:tcPr>
          <w:p w14:paraId="0D9A8184">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供应商提供</w:t>
            </w:r>
            <w:r>
              <w:rPr>
                <w:rFonts w:hint="eastAsia" w:ascii="仿宋" w:hAnsi="仿宋" w:eastAsia="仿宋" w:cs="仿宋"/>
                <w:snapToGrid w:val="0"/>
                <w:kern w:val="0"/>
                <w:sz w:val="30"/>
                <w:szCs w:val="30"/>
              </w:rPr>
              <w:t>项目整体服务方案</w:t>
            </w:r>
            <w:r>
              <w:rPr>
                <w:rFonts w:hint="eastAsia" w:ascii="仿宋" w:hAnsi="仿宋" w:eastAsia="仿宋" w:cs="仿宋"/>
                <w:sz w:val="30"/>
                <w:szCs w:val="30"/>
              </w:rPr>
              <w:t>，包括但不限于项目实施计划、</w:t>
            </w:r>
            <w:r>
              <w:rPr>
                <w:rFonts w:hint="eastAsia" w:ascii="仿宋" w:hAnsi="仿宋" w:eastAsia="仿宋" w:cs="仿宋"/>
                <w:sz w:val="30"/>
                <w:szCs w:val="30"/>
                <w:lang w:val="en-US" w:eastAsia="zh-CN"/>
              </w:rPr>
              <w:t>参赛视频素材采集及制作、</w:t>
            </w:r>
            <w:r>
              <w:rPr>
                <w:rFonts w:hint="eastAsia" w:ascii="仿宋" w:hAnsi="仿宋" w:eastAsia="仿宋" w:cs="仿宋"/>
                <w:sz w:val="30"/>
                <w:szCs w:val="30"/>
              </w:rPr>
              <w:t>项目质量保证</w:t>
            </w:r>
            <w:r>
              <w:rPr>
                <w:rFonts w:hint="eastAsia" w:ascii="仿宋" w:hAnsi="仿宋" w:eastAsia="仿宋" w:cs="仿宋"/>
                <w:sz w:val="30"/>
                <w:szCs w:val="30"/>
                <w:lang w:val="en-US" w:eastAsia="zh-CN"/>
              </w:rPr>
              <w:t>等，</w:t>
            </w:r>
            <w:r>
              <w:rPr>
                <w:rFonts w:hint="eastAsia" w:ascii="仿宋" w:hAnsi="仿宋" w:eastAsia="仿宋" w:cs="仿宋"/>
                <w:sz w:val="30"/>
                <w:szCs w:val="30"/>
              </w:rPr>
              <w:t>方案包含的要点齐全无缺漏项、内容与要点相符、每个要点均有展开详细的阐述且能够适用于本项目得</w:t>
            </w:r>
            <w:r>
              <w:rPr>
                <w:rFonts w:hint="eastAsia" w:ascii="仿宋" w:hAnsi="仿宋" w:eastAsia="仿宋" w:cs="仿宋"/>
                <w:sz w:val="30"/>
                <w:szCs w:val="30"/>
                <w:lang w:val="en-US" w:eastAsia="zh-CN"/>
              </w:rPr>
              <w:t>7</w:t>
            </w:r>
            <w:r>
              <w:rPr>
                <w:rFonts w:hint="eastAsia" w:ascii="仿宋" w:hAnsi="仿宋" w:eastAsia="仿宋" w:cs="仿宋"/>
                <w:sz w:val="30"/>
                <w:szCs w:val="30"/>
              </w:rPr>
              <w:t>分；方案所包含的要点齐全、内容与要点相符、每个要点均有展开阐述，基本能够适用于本项目的得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分；方案所包含的要点有缺漏、内容与要点相符但仅有纲要的得</w:t>
            </w:r>
            <w:r>
              <w:rPr>
                <w:rFonts w:hint="eastAsia" w:ascii="仿宋" w:hAnsi="仿宋" w:eastAsia="仿宋" w:cs="仿宋"/>
                <w:sz w:val="30"/>
                <w:szCs w:val="30"/>
                <w:lang w:val="en-US" w:eastAsia="zh-CN"/>
              </w:rPr>
              <w:t>5</w:t>
            </w:r>
            <w:r>
              <w:rPr>
                <w:rFonts w:hint="eastAsia" w:ascii="仿宋" w:hAnsi="仿宋" w:eastAsia="仿宋" w:cs="仿宋"/>
                <w:sz w:val="30"/>
                <w:szCs w:val="30"/>
              </w:rPr>
              <w:t>分；未提供方案或内容存在明显错误、内容明显不适用于本项目需求的均不得分。</w:t>
            </w:r>
          </w:p>
        </w:tc>
      </w:tr>
      <w:tr w14:paraId="1D628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14:paraId="2319D47A">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3</w:t>
            </w:r>
          </w:p>
        </w:tc>
        <w:tc>
          <w:tcPr>
            <w:tcW w:w="1423" w:type="dxa"/>
            <w:vAlign w:val="center"/>
          </w:tcPr>
          <w:p w14:paraId="610DBD9C">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napToGrid w:val="0"/>
                <w:kern w:val="0"/>
                <w:sz w:val="30"/>
                <w:szCs w:val="30"/>
              </w:rPr>
              <w:t>项目实施计划</w:t>
            </w:r>
          </w:p>
        </w:tc>
        <w:tc>
          <w:tcPr>
            <w:tcW w:w="875" w:type="dxa"/>
            <w:vAlign w:val="center"/>
          </w:tcPr>
          <w:p w14:paraId="4514E23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仿宋_GB2312" w:hAnsi="仿宋_GB2312" w:eastAsia="仿宋_GB2312" w:cs="仿宋_GB2312"/>
                <w:snapToGrid w:val="0"/>
                <w:kern w:val="0"/>
                <w:sz w:val="28"/>
                <w:szCs w:val="28"/>
                <w:lang w:val="en-US" w:eastAsia="zh-CN" w:bidi="ar"/>
              </w:rPr>
            </w:pPr>
            <w:r>
              <w:rPr>
                <w:rFonts w:hint="eastAsia" w:ascii="仿宋_GB2312" w:hAnsi="仿宋_GB2312" w:eastAsia="仿宋_GB2312" w:cs="仿宋_GB2312"/>
                <w:snapToGrid w:val="0"/>
                <w:kern w:val="0"/>
                <w:sz w:val="28"/>
                <w:szCs w:val="28"/>
                <w:lang w:val="en-US" w:eastAsia="zh-CN" w:bidi="ar"/>
              </w:rPr>
              <w:t>7</w:t>
            </w:r>
          </w:p>
        </w:tc>
        <w:tc>
          <w:tcPr>
            <w:tcW w:w="5851" w:type="dxa"/>
            <w:vAlign w:val="center"/>
          </w:tcPr>
          <w:p w14:paraId="4CEFA6BD">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供应商提供</w:t>
            </w:r>
            <w:r>
              <w:rPr>
                <w:rFonts w:hint="eastAsia" w:ascii="仿宋" w:hAnsi="仿宋" w:eastAsia="仿宋" w:cs="仿宋"/>
                <w:snapToGrid w:val="0"/>
                <w:kern w:val="0"/>
                <w:sz w:val="30"/>
                <w:szCs w:val="30"/>
              </w:rPr>
              <w:t>项目实施计划</w:t>
            </w:r>
            <w:r>
              <w:rPr>
                <w:rFonts w:hint="eastAsia" w:ascii="仿宋" w:hAnsi="仿宋" w:eastAsia="仿宋" w:cs="仿宋"/>
                <w:sz w:val="30"/>
                <w:szCs w:val="30"/>
                <w:lang w:val="en-US" w:eastAsia="zh-CN"/>
              </w:rPr>
              <w:t>，包括但不限于</w:t>
            </w:r>
            <w:r>
              <w:rPr>
                <w:rFonts w:hint="eastAsia" w:ascii="仿宋" w:hAnsi="仿宋" w:eastAsia="仿宋" w:cs="仿宋"/>
                <w:sz w:val="30"/>
                <w:szCs w:val="30"/>
              </w:rPr>
              <w:t>工作流程、步骤</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工作控制</w:t>
            </w:r>
            <w:r>
              <w:rPr>
                <w:rFonts w:hint="eastAsia" w:ascii="仿宋" w:hAnsi="仿宋" w:eastAsia="仿宋" w:cs="仿宋"/>
                <w:sz w:val="30"/>
                <w:szCs w:val="30"/>
              </w:rPr>
              <w:t>管理、项目进程中的监督控制制度等进行评分：方案内容与要点相符、内容详实、各要点内容之间关联性强，逻辑清晰合理，且按现有客观实际情况可以有效实施的且对采购人实用的得</w:t>
            </w:r>
            <w:r>
              <w:rPr>
                <w:rFonts w:hint="eastAsia" w:ascii="仿宋" w:hAnsi="仿宋" w:eastAsia="仿宋" w:cs="仿宋"/>
                <w:sz w:val="30"/>
                <w:szCs w:val="30"/>
                <w:lang w:val="en-US" w:eastAsia="zh-CN"/>
              </w:rPr>
              <w:t>7</w:t>
            </w:r>
            <w:r>
              <w:rPr>
                <w:rFonts w:hint="eastAsia" w:ascii="仿宋" w:hAnsi="仿宋" w:eastAsia="仿宋" w:cs="仿宋"/>
                <w:sz w:val="30"/>
                <w:szCs w:val="30"/>
              </w:rPr>
              <w:t>分；方案内容与要点相符、内容详实、各要点内容之间关联性较强，逻辑清晰较合理，对采购人较实用的得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分；方案内容与要点相符、内容详实、各要点内容之间关联性一般，逻辑清晰合理一般，对采购人实用性一般的得</w:t>
            </w:r>
            <w:r>
              <w:rPr>
                <w:rFonts w:hint="eastAsia" w:ascii="仿宋" w:hAnsi="仿宋" w:eastAsia="仿宋" w:cs="仿宋"/>
                <w:sz w:val="30"/>
                <w:szCs w:val="30"/>
                <w:lang w:val="en-US" w:eastAsia="zh-CN"/>
              </w:rPr>
              <w:t>5</w:t>
            </w:r>
            <w:r>
              <w:rPr>
                <w:rFonts w:hint="eastAsia" w:ascii="仿宋" w:hAnsi="仿宋" w:eastAsia="仿宋" w:cs="仿宋"/>
                <w:sz w:val="30"/>
                <w:szCs w:val="30"/>
              </w:rPr>
              <w:t>分。未提供方案或内容存在明显错误、内容明显不适用于本项目需求的均不得分。</w:t>
            </w:r>
          </w:p>
        </w:tc>
      </w:tr>
      <w:tr w14:paraId="02A89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22" w:type="dxa"/>
            <w:vAlign w:val="center"/>
          </w:tcPr>
          <w:p w14:paraId="38AC1DA7">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_GB2312" w:hAnsi="仿宋_GB2312" w:eastAsia="仿宋_GB2312" w:cs="仿宋_GB2312"/>
                <w:snapToGrid w:val="0"/>
                <w:kern w:val="0"/>
                <w:sz w:val="28"/>
                <w:szCs w:val="28"/>
                <w:lang w:bidi="ar"/>
              </w:rPr>
              <w:t>4</w:t>
            </w:r>
          </w:p>
        </w:tc>
        <w:tc>
          <w:tcPr>
            <w:tcW w:w="1423" w:type="dxa"/>
            <w:vAlign w:val="center"/>
          </w:tcPr>
          <w:p w14:paraId="1AD60C0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项目质量控制方案</w:t>
            </w:r>
          </w:p>
        </w:tc>
        <w:tc>
          <w:tcPr>
            <w:tcW w:w="875" w:type="dxa"/>
            <w:vAlign w:val="center"/>
          </w:tcPr>
          <w:p w14:paraId="09E5D9E6">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lang w:val="en-US" w:eastAsia="zh-CN"/>
              </w:rPr>
              <w:t>6</w:t>
            </w:r>
          </w:p>
        </w:tc>
        <w:tc>
          <w:tcPr>
            <w:tcW w:w="5851" w:type="dxa"/>
            <w:vAlign w:val="center"/>
          </w:tcPr>
          <w:p w14:paraId="103E4847">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ascii="仿宋_GB2312" w:hAnsi="仿宋_GB2312" w:eastAsia="仿宋_GB2312" w:cs="仿宋_GB2312"/>
                <w:snapToGrid w:val="0"/>
                <w:kern w:val="0"/>
                <w:sz w:val="28"/>
                <w:szCs w:val="28"/>
                <w:lang w:bidi="ar"/>
              </w:rPr>
            </w:pPr>
            <w:r>
              <w:rPr>
                <w:rFonts w:hint="eastAsia" w:ascii="仿宋" w:hAnsi="仿宋" w:eastAsia="仿宋" w:cs="仿宋"/>
                <w:sz w:val="30"/>
                <w:szCs w:val="30"/>
              </w:rPr>
              <w:t>根据供应商对本项目定制项目质量控制方案进行评分，从项目质量保障措施的先进性、周密性、可操作性、有效性、持续改进等方面进行综合评审。方案包含的要点齐全无缺漏项、内容与要点相符、内容完善且能够适用于本项目的得</w:t>
            </w:r>
            <w:r>
              <w:rPr>
                <w:rFonts w:hint="eastAsia" w:ascii="仿宋" w:hAnsi="仿宋" w:eastAsia="仿宋" w:cs="仿宋"/>
                <w:sz w:val="30"/>
                <w:szCs w:val="30"/>
                <w:lang w:val="en-US" w:eastAsia="zh-CN"/>
              </w:rPr>
              <w:t>6</w:t>
            </w:r>
            <w:r>
              <w:rPr>
                <w:rFonts w:hint="eastAsia" w:ascii="仿宋" w:hAnsi="仿宋" w:eastAsia="仿宋" w:cs="仿宋"/>
                <w:sz w:val="30"/>
                <w:szCs w:val="30"/>
              </w:rPr>
              <w:t>分；方案所包含的要点齐全、内容与要点相符，但仅有纲要内容简略，未展开阐述的得</w:t>
            </w:r>
            <w:r>
              <w:rPr>
                <w:rFonts w:hint="eastAsia" w:ascii="仿宋" w:hAnsi="仿宋" w:eastAsia="仿宋" w:cs="仿宋"/>
                <w:sz w:val="30"/>
                <w:szCs w:val="30"/>
                <w:lang w:val="en-US" w:eastAsia="zh-CN"/>
              </w:rPr>
              <w:t>5</w:t>
            </w:r>
            <w:r>
              <w:rPr>
                <w:rFonts w:hint="eastAsia" w:ascii="仿宋" w:hAnsi="仿宋" w:eastAsia="仿宋" w:cs="仿宋"/>
                <w:sz w:val="30"/>
                <w:szCs w:val="30"/>
              </w:rPr>
              <w:t>分；方案所包含的要点有缺漏或内容不全的</w:t>
            </w:r>
            <w:r>
              <w:rPr>
                <w:rFonts w:hint="eastAsia" w:ascii="仿宋" w:hAnsi="仿宋" w:eastAsia="仿宋" w:cs="仿宋"/>
                <w:sz w:val="30"/>
                <w:szCs w:val="30"/>
                <w:lang w:val="en-US" w:eastAsia="zh-CN"/>
              </w:rPr>
              <w:t>4</w:t>
            </w:r>
            <w:r>
              <w:rPr>
                <w:rFonts w:hint="eastAsia" w:ascii="仿宋" w:hAnsi="仿宋" w:eastAsia="仿宋" w:cs="仿宋"/>
                <w:sz w:val="30"/>
                <w:szCs w:val="30"/>
              </w:rPr>
              <w:t>分；未提供方案或内容存在明显错误、内容明显不适用于本项目需求的均不得分。</w:t>
            </w:r>
          </w:p>
        </w:tc>
      </w:tr>
    </w:tbl>
    <w:p w14:paraId="27E1474E">
      <w:pP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br w:type="page"/>
      </w:r>
    </w:p>
    <w:p w14:paraId="5A09657B">
      <w:pPr>
        <w:keepNext w:val="0"/>
        <w:keepLines w:val="0"/>
        <w:pageBreakBefore w:val="0"/>
        <w:widowControl w:val="0"/>
        <w:kinsoku/>
        <w:wordWrap/>
        <w:overflowPunct w:val="0"/>
        <w:topLinePunct w:val="0"/>
        <w:autoSpaceDE/>
        <w:autoSpaceDN/>
        <w:bidi w:val="0"/>
        <w:adjustRightInd w:val="0"/>
        <w:snapToGrid w:val="0"/>
        <w:spacing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（二）</w:t>
      </w:r>
      <w:r>
        <w:rPr>
          <w:rFonts w:hint="eastAsia" w:ascii="楷体_GB2312" w:hAnsi="楷体_GB2312" w:eastAsia="楷体_GB2312" w:cs="楷体_GB2312"/>
          <w:b/>
          <w:bCs/>
          <w:snapToGrid w:val="0"/>
          <w:kern w:val="0"/>
          <w:sz w:val="32"/>
          <w:szCs w:val="32"/>
        </w:rPr>
        <w:t>商务部分评分  满分</w:t>
      </w:r>
      <w:r>
        <w:rPr>
          <w:rFonts w:hint="eastAsia" w:ascii="楷体_GB2312" w:hAnsi="楷体_GB2312" w:eastAsia="楷体_GB2312" w:cs="楷体_GB2312"/>
          <w:b/>
          <w:bCs/>
          <w:snapToGrid w:val="0"/>
          <w:kern w:val="0"/>
          <w:sz w:val="32"/>
          <w:szCs w:val="32"/>
          <w:lang w:val="en-US" w:eastAsia="zh-CN"/>
        </w:rPr>
        <w:t>46</w:t>
      </w:r>
      <w:r>
        <w:rPr>
          <w:rFonts w:hint="eastAsia" w:ascii="楷体_GB2312" w:hAnsi="楷体_GB2312" w:eastAsia="楷体_GB2312" w:cs="楷体_GB2312"/>
          <w:b/>
          <w:bCs/>
          <w:snapToGrid w:val="0"/>
          <w:kern w:val="0"/>
          <w:sz w:val="32"/>
          <w:szCs w:val="32"/>
        </w:rPr>
        <w:t>分</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22"/>
        <w:gridCol w:w="1438"/>
        <w:gridCol w:w="882"/>
        <w:gridCol w:w="5829"/>
      </w:tblGrid>
      <w:tr w14:paraId="1AC8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14:paraId="7E903535">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438" w:type="dxa"/>
            <w:tcBorders>
              <w:tl2br w:val="nil"/>
              <w:tr2bl w:val="nil"/>
            </w:tcBorders>
            <w:shd w:val="clear" w:color="auto" w:fill="auto"/>
            <w:vAlign w:val="center"/>
          </w:tcPr>
          <w:p w14:paraId="29D22CC8">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项目</w:t>
            </w:r>
          </w:p>
        </w:tc>
        <w:tc>
          <w:tcPr>
            <w:tcW w:w="882" w:type="dxa"/>
            <w:tcBorders>
              <w:tl2br w:val="nil"/>
              <w:tr2bl w:val="nil"/>
            </w:tcBorders>
            <w:shd w:val="clear" w:color="auto" w:fill="auto"/>
            <w:vAlign w:val="center"/>
          </w:tcPr>
          <w:p w14:paraId="3C62E71F">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分值</w:t>
            </w:r>
          </w:p>
        </w:tc>
        <w:tc>
          <w:tcPr>
            <w:tcW w:w="5829" w:type="dxa"/>
            <w:tcBorders>
              <w:tl2br w:val="nil"/>
              <w:tr2bl w:val="nil"/>
            </w:tcBorders>
            <w:shd w:val="clear" w:color="auto" w:fill="auto"/>
            <w:vAlign w:val="center"/>
          </w:tcPr>
          <w:p w14:paraId="473024AA">
            <w:pPr>
              <w:widowControl/>
              <w:spacing w:line="240" w:lineRule="auto"/>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评分方法描述</w:t>
            </w:r>
          </w:p>
        </w:tc>
      </w:tr>
      <w:tr w14:paraId="79B3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15" w:hRule="atLeast"/>
          <w:jc w:val="center"/>
        </w:trPr>
        <w:tc>
          <w:tcPr>
            <w:tcW w:w="922" w:type="dxa"/>
            <w:tcBorders>
              <w:tl2br w:val="nil"/>
              <w:tr2bl w:val="nil"/>
            </w:tcBorders>
            <w:shd w:val="clear" w:color="auto" w:fill="auto"/>
            <w:vAlign w:val="center"/>
          </w:tcPr>
          <w:p w14:paraId="75626785">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w:t>
            </w:r>
          </w:p>
        </w:tc>
        <w:tc>
          <w:tcPr>
            <w:tcW w:w="1438" w:type="dxa"/>
            <w:tcBorders>
              <w:tl2br w:val="nil"/>
              <w:tr2bl w:val="nil"/>
            </w:tcBorders>
            <w:shd w:val="clear" w:color="auto" w:fill="auto"/>
            <w:vAlign w:val="center"/>
          </w:tcPr>
          <w:p w14:paraId="1BE66E3D">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案例</w:t>
            </w:r>
          </w:p>
        </w:tc>
        <w:tc>
          <w:tcPr>
            <w:tcW w:w="882" w:type="dxa"/>
            <w:tcBorders>
              <w:tl2br w:val="nil"/>
              <w:tr2bl w:val="nil"/>
            </w:tcBorders>
            <w:shd w:val="clear" w:color="auto" w:fill="auto"/>
            <w:vAlign w:val="center"/>
          </w:tcPr>
          <w:p w14:paraId="496574EF">
            <w:pPr>
              <w:widowControl/>
              <w:spacing w:line="240" w:lineRule="auto"/>
              <w:jc w:val="center"/>
              <w:textAlignment w:val="center"/>
              <w:rPr>
                <w:rFonts w:hint="eastAsia" w:ascii="仿宋_GB2312" w:hAnsi="仿宋_GB2312" w:eastAsia="仿宋_GB2312" w:cs="仿宋_GB2312"/>
                <w:kern w:val="0"/>
                <w:sz w:val="30"/>
                <w:szCs w:val="30"/>
                <w:lang w:eastAsia="zh-CN" w:bidi="ar"/>
              </w:rPr>
            </w:pPr>
            <w:r>
              <w:rPr>
                <w:rFonts w:hint="eastAsia" w:ascii="仿宋_GB2312" w:hAnsi="仿宋_GB2312" w:eastAsia="仿宋_GB2312" w:cs="仿宋_GB2312"/>
                <w:kern w:val="0"/>
                <w:sz w:val="30"/>
                <w:szCs w:val="30"/>
                <w:lang w:val="en-US" w:eastAsia="zh-CN" w:bidi="ar"/>
              </w:rPr>
              <w:t>5</w:t>
            </w:r>
          </w:p>
        </w:tc>
        <w:tc>
          <w:tcPr>
            <w:tcW w:w="5829" w:type="dxa"/>
            <w:tcBorders>
              <w:tl2br w:val="nil"/>
              <w:tr2bl w:val="nil"/>
            </w:tcBorders>
            <w:shd w:val="clear" w:color="auto" w:fill="auto"/>
            <w:vAlign w:val="center"/>
          </w:tcPr>
          <w:p w14:paraId="0FCABA96">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lang w:val="en-US" w:eastAsia="zh-CN"/>
              </w:rPr>
              <w:t>近一年</w:t>
            </w:r>
            <w:r>
              <w:rPr>
                <w:rFonts w:hint="eastAsia" w:ascii="仿宋" w:hAnsi="仿宋" w:eastAsia="仿宋" w:cs="仿宋"/>
                <w:sz w:val="30"/>
                <w:szCs w:val="30"/>
              </w:rPr>
              <w:t>以来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时间以合同签订为准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有</w:t>
            </w:r>
            <w:r>
              <w:rPr>
                <w:rFonts w:hint="eastAsia" w:ascii="仿宋" w:hAnsi="仿宋" w:eastAsia="仿宋" w:cs="仿宋"/>
                <w:sz w:val="30"/>
                <w:szCs w:val="30"/>
              </w:rPr>
              <w:t>过</w:t>
            </w:r>
            <w:r>
              <w:rPr>
                <w:rFonts w:hint="eastAsia" w:ascii="仿宋" w:hAnsi="仿宋" w:eastAsia="仿宋" w:cs="仿宋"/>
                <w:sz w:val="30"/>
                <w:szCs w:val="30"/>
                <w:lang w:val="en-US" w:eastAsia="zh-CN"/>
              </w:rPr>
              <w:t>类似数据分析大赛项目案例的得5分，</w:t>
            </w:r>
            <w:r>
              <w:rPr>
                <w:rFonts w:hint="eastAsia" w:ascii="仿宋" w:hAnsi="仿宋" w:eastAsia="仿宋" w:cs="仿宋"/>
                <w:sz w:val="30"/>
                <w:szCs w:val="30"/>
              </w:rPr>
              <w:t>需提供</w:t>
            </w:r>
            <w:r>
              <w:rPr>
                <w:rFonts w:hint="eastAsia" w:ascii="仿宋" w:hAnsi="仿宋" w:eastAsia="仿宋" w:cs="仿宋"/>
                <w:sz w:val="30"/>
                <w:szCs w:val="30"/>
                <w:lang w:val="en-US" w:eastAsia="zh-CN"/>
              </w:rPr>
              <w:t>有效合同复印件。</w:t>
            </w:r>
          </w:p>
        </w:tc>
      </w:tr>
      <w:tr w14:paraId="69C3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14:paraId="7A95E0FC">
            <w:pPr>
              <w:widowControl/>
              <w:spacing w:line="240" w:lineRule="auto"/>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w:t>
            </w:r>
          </w:p>
        </w:tc>
        <w:tc>
          <w:tcPr>
            <w:tcW w:w="1438" w:type="dxa"/>
            <w:tcBorders>
              <w:tl2br w:val="nil"/>
              <w:tr2bl w:val="nil"/>
            </w:tcBorders>
            <w:shd w:val="clear" w:color="auto" w:fill="auto"/>
            <w:vAlign w:val="center"/>
          </w:tcPr>
          <w:p w14:paraId="531ADE31">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供应商数据分析综合实力</w:t>
            </w:r>
          </w:p>
        </w:tc>
        <w:tc>
          <w:tcPr>
            <w:tcW w:w="882" w:type="dxa"/>
            <w:tcBorders>
              <w:tl2br w:val="nil"/>
              <w:tr2bl w:val="nil"/>
            </w:tcBorders>
            <w:shd w:val="clear" w:color="auto" w:fill="auto"/>
            <w:vAlign w:val="center"/>
          </w:tcPr>
          <w:p w14:paraId="6F66D343">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12</w:t>
            </w:r>
          </w:p>
        </w:tc>
        <w:tc>
          <w:tcPr>
            <w:tcW w:w="5829" w:type="dxa"/>
            <w:tcBorders>
              <w:tl2br w:val="nil"/>
              <w:tr2bl w:val="nil"/>
            </w:tcBorders>
            <w:shd w:val="clear" w:color="auto" w:fill="auto"/>
            <w:vAlign w:val="center"/>
          </w:tcPr>
          <w:p w14:paraId="24909544">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lang w:val="en-US" w:eastAsia="zh-CN"/>
              </w:rPr>
              <w:t>具有</w:t>
            </w:r>
            <w:r>
              <w:rPr>
                <w:rFonts w:hint="eastAsia" w:ascii="仿宋" w:hAnsi="仿宋" w:eastAsia="仿宋" w:cs="仿宋"/>
                <w:sz w:val="30"/>
                <w:szCs w:val="30"/>
              </w:rPr>
              <w:t>数据大屏显示系统</w:t>
            </w:r>
            <w:r>
              <w:rPr>
                <w:rFonts w:hint="eastAsia" w:ascii="仿宋" w:hAnsi="仿宋" w:eastAsia="仿宋" w:cs="仿宋"/>
                <w:sz w:val="30"/>
                <w:szCs w:val="30"/>
                <w:lang w:eastAsia="zh-CN"/>
              </w:rPr>
              <w:t>、信息安全管理系统、文本型大数据分析系统、多数据源大数据治理系统，</w:t>
            </w:r>
            <w:r>
              <w:rPr>
                <w:rFonts w:hint="eastAsia" w:ascii="仿宋" w:hAnsi="仿宋" w:eastAsia="仿宋" w:cs="仿宋"/>
                <w:sz w:val="30"/>
                <w:szCs w:val="30"/>
              </w:rPr>
              <w:t>每提供一项</w:t>
            </w:r>
            <w:r>
              <w:rPr>
                <w:rFonts w:hint="eastAsia" w:ascii="仿宋" w:hAnsi="仿宋" w:eastAsia="仿宋" w:cs="仿宋"/>
                <w:sz w:val="30"/>
                <w:szCs w:val="30"/>
                <w:lang w:val="en-US" w:eastAsia="zh-CN"/>
              </w:rPr>
              <w:t>的得3分，满分12分，</w:t>
            </w:r>
            <w:r>
              <w:rPr>
                <w:rFonts w:hint="eastAsia" w:ascii="仿宋" w:hAnsi="仿宋" w:eastAsia="仿宋" w:cs="仿宋"/>
                <w:sz w:val="30"/>
                <w:szCs w:val="30"/>
              </w:rPr>
              <w:t>需提供国家版权局登记认证的软件著作权证书复印件（证书需体现供应商名称），未提供或不满足本项要求的不得分。</w:t>
            </w:r>
          </w:p>
        </w:tc>
      </w:tr>
      <w:tr w14:paraId="6239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14:paraId="2EE4ED81">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w:t>
            </w:r>
          </w:p>
        </w:tc>
        <w:tc>
          <w:tcPr>
            <w:tcW w:w="1438" w:type="dxa"/>
            <w:tcBorders>
              <w:tl2br w:val="nil"/>
              <w:tr2bl w:val="nil"/>
            </w:tcBorders>
            <w:shd w:val="clear" w:color="auto" w:fill="auto"/>
            <w:vAlign w:val="center"/>
          </w:tcPr>
          <w:p w14:paraId="5468A15B">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数据分析团队（同一人员不得重复得分）</w:t>
            </w:r>
          </w:p>
        </w:tc>
        <w:tc>
          <w:tcPr>
            <w:tcW w:w="882" w:type="dxa"/>
            <w:tcBorders>
              <w:tl2br w:val="nil"/>
              <w:tr2bl w:val="nil"/>
            </w:tcBorders>
            <w:shd w:val="clear" w:color="auto" w:fill="auto"/>
            <w:vAlign w:val="center"/>
          </w:tcPr>
          <w:p w14:paraId="5D07BAB7">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23</w:t>
            </w:r>
          </w:p>
        </w:tc>
        <w:tc>
          <w:tcPr>
            <w:tcW w:w="5829" w:type="dxa"/>
            <w:tcBorders>
              <w:tl2br w:val="nil"/>
              <w:tr2bl w:val="nil"/>
            </w:tcBorders>
            <w:shd w:val="clear" w:color="auto" w:fill="auto"/>
            <w:vAlign w:val="center"/>
          </w:tcPr>
          <w:p w14:paraId="08DCF0F1">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供应商投入本项目的项目</w:t>
            </w:r>
            <w:r>
              <w:rPr>
                <w:rFonts w:hint="eastAsia" w:ascii="仿宋" w:hAnsi="仿宋" w:eastAsia="仿宋" w:cs="仿宋"/>
                <w:sz w:val="30"/>
                <w:szCs w:val="30"/>
                <w:lang w:val="en-US" w:eastAsia="zh-CN"/>
              </w:rPr>
              <w:t>经理</w:t>
            </w:r>
            <w:r>
              <w:rPr>
                <w:rFonts w:hint="eastAsia" w:ascii="仿宋" w:hAnsi="仿宋" w:eastAsia="仿宋" w:cs="仿宋"/>
                <w:sz w:val="30"/>
                <w:szCs w:val="30"/>
              </w:rPr>
              <w:t>（1名）具备：①</w:t>
            </w:r>
            <w:r>
              <w:rPr>
                <w:rFonts w:hint="eastAsia" w:ascii="仿宋" w:hAnsi="仿宋" w:eastAsia="仿宋" w:cs="仿宋"/>
                <w:sz w:val="30"/>
                <w:szCs w:val="30"/>
                <w:lang w:val="en-US" w:eastAsia="zh-CN"/>
              </w:rPr>
              <w:t>具有全日制本科计算机科学与技术专业学历</w:t>
            </w:r>
            <w:r>
              <w:rPr>
                <w:rFonts w:hint="eastAsia" w:ascii="仿宋" w:hAnsi="仿宋" w:eastAsia="仿宋" w:cs="仿宋"/>
                <w:sz w:val="30"/>
                <w:szCs w:val="30"/>
              </w:rPr>
              <w:t>②具有</w:t>
            </w:r>
            <w:r>
              <w:rPr>
                <w:rFonts w:hint="eastAsia" w:ascii="仿宋" w:hAnsi="仿宋" w:eastAsia="仿宋" w:cs="仿宋"/>
                <w:sz w:val="30"/>
                <w:szCs w:val="30"/>
                <w:lang w:val="en-US" w:eastAsia="zh-CN"/>
              </w:rPr>
              <w:t>政府部门</w:t>
            </w:r>
            <w:r>
              <w:rPr>
                <w:rFonts w:hint="eastAsia" w:ascii="仿宋" w:hAnsi="仿宋" w:eastAsia="仿宋" w:cs="仿宋"/>
                <w:sz w:val="30"/>
                <w:szCs w:val="30"/>
              </w:rPr>
              <w:t>颁发的大数据分析专业</w:t>
            </w:r>
            <w:r>
              <w:rPr>
                <w:rFonts w:hint="eastAsia" w:ascii="仿宋" w:hAnsi="仿宋" w:eastAsia="仿宋" w:cs="仿宋"/>
                <w:sz w:val="30"/>
                <w:szCs w:val="30"/>
                <w:lang w:eastAsia="zh-CN"/>
              </w:rPr>
              <w:t>（</w:t>
            </w:r>
            <w:r>
              <w:rPr>
                <w:rFonts w:hint="eastAsia" w:ascii="仿宋" w:hAnsi="仿宋" w:eastAsia="仿宋" w:cs="仿宋"/>
                <w:sz w:val="30"/>
                <w:szCs w:val="30"/>
              </w:rPr>
              <w:t>高级</w:t>
            </w:r>
            <w:r>
              <w:rPr>
                <w:rFonts w:hint="eastAsia" w:ascii="仿宋" w:hAnsi="仿宋" w:eastAsia="仿宋" w:cs="仿宋"/>
                <w:sz w:val="30"/>
                <w:szCs w:val="30"/>
                <w:lang w:eastAsia="zh-CN"/>
              </w:rPr>
              <w:t>）</w:t>
            </w:r>
            <w:r>
              <w:rPr>
                <w:rFonts w:hint="eastAsia" w:ascii="仿宋" w:hAnsi="仿宋" w:eastAsia="仿宋" w:cs="仿宋"/>
                <w:sz w:val="30"/>
                <w:szCs w:val="30"/>
              </w:rPr>
              <w:t>职业技术证书</w:t>
            </w:r>
            <w:r>
              <w:rPr>
                <w:rFonts w:hint="eastAsia" w:ascii="仿宋" w:hAnsi="仿宋" w:eastAsia="仿宋" w:cs="仿宋"/>
                <w:sz w:val="30"/>
                <w:szCs w:val="30"/>
                <w:lang w:eastAsia="zh-CN"/>
              </w:rPr>
              <w:t>；</w:t>
            </w:r>
            <w:r>
              <w:rPr>
                <w:rFonts w:hint="eastAsia" w:ascii="仿宋" w:hAnsi="仿宋" w:eastAsia="仿宋" w:cs="仿宋"/>
                <w:sz w:val="30"/>
                <w:szCs w:val="30"/>
              </w:rPr>
              <w:t>③具有</w:t>
            </w:r>
            <w:r>
              <w:rPr>
                <w:rFonts w:hint="eastAsia" w:ascii="仿宋" w:hAnsi="仿宋" w:eastAsia="仿宋" w:cs="仿宋"/>
                <w:sz w:val="30"/>
                <w:szCs w:val="30"/>
                <w:lang w:val="en-US" w:eastAsia="zh-CN"/>
              </w:rPr>
              <w:t>中级</w:t>
            </w:r>
            <w:r>
              <w:rPr>
                <w:rFonts w:hint="eastAsia" w:ascii="仿宋" w:hAnsi="仿宋" w:eastAsia="仿宋" w:cs="仿宋"/>
                <w:sz w:val="30"/>
                <w:szCs w:val="30"/>
              </w:rPr>
              <w:t>统计师职称；④</w:t>
            </w:r>
            <w:r>
              <w:rPr>
                <w:rFonts w:hint="eastAsia" w:ascii="仿宋" w:hAnsi="仿宋" w:eastAsia="仿宋" w:cs="仿宋"/>
                <w:sz w:val="30"/>
                <w:szCs w:val="30"/>
                <w:lang w:val="en-US" w:eastAsia="zh-CN"/>
              </w:rPr>
              <w:t>具有</w:t>
            </w:r>
            <w:r>
              <w:rPr>
                <w:rFonts w:hint="eastAsia" w:ascii="仿宋" w:hAnsi="仿宋" w:eastAsia="仿宋" w:cs="仿宋"/>
                <w:sz w:val="30"/>
                <w:szCs w:val="30"/>
              </w:rPr>
              <w:t>中级及以上网络工程师</w:t>
            </w:r>
            <w:r>
              <w:rPr>
                <w:rFonts w:hint="eastAsia" w:ascii="仿宋" w:hAnsi="仿宋" w:eastAsia="仿宋" w:cs="仿宋"/>
                <w:sz w:val="30"/>
                <w:szCs w:val="30"/>
                <w:lang w:eastAsia="zh-CN"/>
              </w:rPr>
              <w:t>；</w:t>
            </w:r>
            <w:r>
              <w:rPr>
                <w:rFonts w:hint="eastAsia" w:ascii="仿宋" w:hAnsi="仿宋" w:eastAsia="仿宋" w:cs="仿宋"/>
                <w:sz w:val="30"/>
                <w:szCs w:val="30"/>
              </w:rPr>
              <w:t>同时满足①②③④的得</w:t>
            </w:r>
            <w:r>
              <w:rPr>
                <w:rFonts w:hint="eastAsia" w:ascii="仿宋" w:hAnsi="仿宋" w:eastAsia="仿宋" w:cs="仿宋"/>
                <w:sz w:val="30"/>
                <w:szCs w:val="30"/>
                <w:lang w:val="en-US" w:eastAsia="zh-CN"/>
              </w:rPr>
              <w:t>8</w:t>
            </w:r>
            <w:r>
              <w:rPr>
                <w:rFonts w:hint="eastAsia" w:ascii="仿宋" w:hAnsi="仿宋" w:eastAsia="仿宋" w:cs="仿宋"/>
                <w:sz w:val="30"/>
                <w:szCs w:val="30"/>
              </w:rPr>
              <w:t>分，满分</w:t>
            </w:r>
            <w:r>
              <w:rPr>
                <w:rFonts w:hint="eastAsia" w:ascii="仿宋" w:hAnsi="仿宋" w:eastAsia="仿宋" w:cs="仿宋"/>
                <w:sz w:val="30"/>
                <w:szCs w:val="30"/>
                <w:lang w:val="en-US" w:eastAsia="zh-CN"/>
              </w:rPr>
              <w:t>8</w:t>
            </w:r>
            <w:r>
              <w:rPr>
                <w:rFonts w:hint="eastAsia" w:ascii="仿宋" w:hAnsi="仿宋" w:eastAsia="仿宋" w:cs="仿宋"/>
                <w:sz w:val="30"/>
                <w:szCs w:val="30"/>
              </w:rPr>
              <w:t>分。注</w:t>
            </w:r>
            <w:r>
              <w:rPr>
                <w:rFonts w:hint="eastAsia" w:ascii="仿宋" w:hAnsi="仿宋" w:eastAsia="仿宋" w:cs="仿宋"/>
                <w:sz w:val="30"/>
                <w:szCs w:val="30"/>
                <w:lang w:eastAsia="zh-CN"/>
              </w:rPr>
              <w:t>：</w:t>
            </w:r>
            <w:r>
              <w:rPr>
                <w:rFonts w:hint="eastAsia" w:ascii="仿宋" w:hAnsi="仿宋" w:eastAsia="仿宋" w:cs="仿宋"/>
                <w:sz w:val="30"/>
                <w:szCs w:val="30"/>
              </w:rPr>
              <w:t>须提供</w:t>
            </w:r>
            <w:r>
              <w:rPr>
                <w:rFonts w:hint="eastAsia" w:ascii="仿宋" w:hAnsi="仿宋" w:eastAsia="仿宋" w:cs="仿宋"/>
                <w:sz w:val="30"/>
                <w:szCs w:val="30"/>
                <w:lang w:val="en-US" w:eastAsia="zh-CN"/>
              </w:rPr>
              <w:t>学历证书复印件、</w:t>
            </w:r>
            <w:r>
              <w:rPr>
                <w:rFonts w:hint="eastAsia" w:ascii="仿宋" w:hAnsi="仿宋" w:eastAsia="仿宋" w:cs="仿宋"/>
                <w:sz w:val="30"/>
                <w:szCs w:val="30"/>
              </w:rPr>
              <w:t>证书复印件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职称证书复印件</w:t>
            </w:r>
            <w:r>
              <w:rPr>
                <w:rFonts w:hint="eastAsia" w:ascii="仿宋" w:hAnsi="仿宋" w:eastAsia="仿宋" w:cs="仿宋"/>
                <w:sz w:val="30"/>
                <w:szCs w:val="30"/>
              </w:rPr>
              <w:t>和供应商为其缴纳近六个月</w:t>
            </w:r>
            <w:r>
              <w:rPr>
                <w:rFonts w:hint="eastAsia" w:ascii="仿宋" w:hAnsi="仿宋" w:eastAsia="仿宋" w:cs="仿宋"/>
                <w:sz w:val="30"/>
                <w:szCs w:val="30"/>
                <w:lang w:eastAsia="zh-CN"/>
              </w:rPr>
              <w:t>（</w:t>
            </w:r>
            <w:r>
              <w:rPr>
                <w:rFonts w:hint="eastAsia" w:ascii="仿宋" w:hAnsi="仿宋" w:eastAsia="仿宋" w:cs="仿宋"/>
                <w:sz w:val="30"/>
                <w:szCs w:val="30"/>
              </w:rPr>
              <w:t>不含投标截止当月</w:t>
            </w:r>
            <w:r>
              <w:rPr>
                <w:rFonts w:hint="eastAsia" w:ascii="仿宋" w:hAnsi="仿宋" w:eastAsia="仿宋" w:cs="仿宋"/>
                <w:sz w:val="30"/>
                <w:szCs w:val="30"/>
                <w:lang w:eastAsia="zh-CN"/>
              </w:rPr>
              <w:t>）</w:t>
            </w:r>
            <w:r>
              <w:rPr>
                <w:rFonts w:hint="eastAsia" w:ascii="仿宋" w:hAnsi="仿宋" w:eastAsia="仿宋" w:cs="仿宋"/>
                <w:sz w:val="30"/>
                <w:szCs w:val="30"/>
              </w:rPr>
              <w:t>任意一月社保证明材料，未提供或提供不全的不得分。</w:t>
            </w:r>
          </w:p>
          <w:p w14:paraId="7424EA25">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数据统计人员：具有全日制本科学历且为中级统计师的，每提供1人得3分，满分6分，</w:t>
            </w:r>
            <w:r>
              <w:rPr>
                <w:rFonts w:hint="eastAsia" w:ascii="仿宋" w:hAnsi="仿宋" w:eastAsia="仿宋" w:cs="仿宋"/>
                <w:sz w:val="30"/>
                <w:szCs w:val="30"/>
              </w:rPr>
              <w:t>需提供</w:t>
            </w:r>
            <w:r>
              <w:rPr>
                <w:rFonts w:hint="eastAsia" w:ascii="仿宋" w:hAnsi="仿宋" w:eastAsia="仿宋" w:cs="仿宋"/>
                <w:sz w:val="30"/>
                <w:szCs w:val="30"/>
                <w:lang w:val="en-US" w:eastAsia="zh-CN"/>
              </w:rPr>
              <w:t>学历</w:t>
            </w:r>
            <w:r>
              <w:rPr>
                <w:rFonts w:hint="eastAsia" w:ascii="仿宋" w:hAnsi="仿宋" w:eastAsia="仿宋" w:cs="仿宋"/>
                <w:sz w:val="30"/>
                <w:szCs w:val="30"/>
              </w:rPr>
              <w:t>证书证明复印件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职称证书复印件</w:t>
            </w:r>
            <w:r>
              <w:rPr>
                <w:rFonts w:hint="eastAsia" w:ascii="仿宋" w:hAnsi="仿宋" w:eastAsia="仿宋" w:cs="仿宋"/>
                <w:sz w:val="30"/>
                <w:szCs w:val="30"/>
              </w:rPr>
              <w:t>和供应商为其缴纳近六个月</w:t>
            </w:r>
            <w:r>
              <w:rPr>
                <w:rFonts w:hint="eastAsia" w:ascii="仿宋" w:hAnsi="仿宋" w:eastAsia="仿宋" w:cs="仿宋"/>
                <w:sz w:val="30"/>
                <w:szCs w:val="30"/>
                <w:lang w:eastAsia="zh-CN"/>
              </w:rPr>
              <w:t>（</w:t>
            </w:r>
            <w:r>
              <w:rPr>
                <w:rFonts w:hint="eastAsia" w:ascii="仿宋" w:hAnsi="仿宋" w:eastAsia="仿宋" w:cs="仿宋"/>
                <w:sz w:val="30"/>
                <w:szCs w:val="30"/>
              </w:rPr>
              <w:t>不含投标截止当月)任意一月社保证明材料，未提供或提供不全的不得分。</w:t>
            </w:r>
          </w:p>
          <w:p w14:paraId="08718AC4">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数据处理人员：</w:t>
            </w:r>
            <w:r>
              <w:rPr>
                <w:rFonts w:hint="eastAsia" w:ascii="仿宋" w:hAnsi="仿宋" w:eastAsia="仿宋" w:cs="仿宋"/>
                <w:sz w:val="30"/>
                <w:szCs w:val="30"/>
                <w:lang w:eastAsia="zh-CN"/>
              </w:rPr>
              <w:t>具有</w:t>
            </w:r>
            <w:r>
              <w:rPr>
                <w:rFonts w:hint="eastAsia" w:ascii="仿宋" w:hAnsi="仿宋" w:eastAsia="仿宋" w:cs="仿宋"/>
                <w:sz w:val="30"/>
                <w:szCs w:val="30"/>
                <w:lang w:val="en-US" w:eastAsia="zh-CN"/>
              </w:rPr>
              <w:t>政府部门</w:t>
            </w:r>
            <w:r>
              <w:rPr>
                <w:rFonts w:hint="eastAsia" w:ascii="仿宋" w:hAnsi="仿宋" w:eastAsia="仿宋" w:cs="仿宋"/>
                <w:sz w:val="30"/>
                <w:szCs w:val="30"/>
                <w:lang w:eastAsia="zh-CN"/>
              </w:rPr>
              <w:t>颁发的大数据工程</w:t>
            </w:r>
            <w:r>
              <w:rPr>
                <w:rFonts w:hint="eastAsia" w:ascii="仿宋" w:hAnsi="仿宋" w:eastAsia="仿宋" w:cs="仿宋"/>
                <w:sz w:val="30"/>
                <w:szCs w:val="30"/>
                <w:lang w:val="en-US" w:eastAsia="zh-CN"/>
              </w:rPr>
              <w:t>师</w:t>
            </w:r>
            <w:r>
              <w:rPr>
                <w:rFonts w:hint="eastAsia" w:ascii="仿宋" w:hAnsi="仿宋" w:eastAsia="仿宋" w:cs="仿宋"/>
                <w:sz w:val="30"/>
                <w:szCs w:val="30"/>
                <w:lang w:eastAsia="zh-CN"/>
              </w:rPr>
              <w:t>（初级）</w:t>
            </w:r>
            <w:r>
              <w:rPr>
                <w:rFonts w:hint="eastAsia" w:ascii="仿宋" w:hAnsi="仿宋" w:eastAsia="仿宋" w:cs="仿宋"/>
                <w:sz w:val="30"/>
                <w:szCs w:val="30"/>
                <w:lang w:val="en-US" w:eastAsia="zh-CN"/>
              </w:rPr>
              <w:t>的得2分，</w:t>
            </w:r>
            <w:r>
              <w:rPr>
                <w:rFonts w:hint="eastAsia" w:ascii="仿宋" w:hAnsi="仿宋" w:eastAsia="仿宋" w:cs="仿宋"/>
                <w:sz w:val="30"/>
                <w:szCs w:val="30"/>
              </w:rPr>
              <w:t>具有</w:t>
            </w:r>
            <w:r>
              <w:rPr>
                <w:rFonts w:hint="eastAsia" w:ascii="仿宋" w:hAnsi="仿宋" w:eastAsia="仿宋" w:cs="仿宋"/>
                <w:sz w:val="30"/>
                <w:szCs w:val="30"/>
                <w:lang w:val="en-US" w:eastAsia="zh-CN"/>
              </w:rPr>
              <w:t>政府部门</w:t>
            </w:r>
            <w:r>
              <w:rPr>
                <w:rFonts w:hint="eastAsia" w:ascii="仿宋" w:hAnsi="仿宋" w:eastAsia="仿宋" w:cs="仿宋"/>
                <w:sz w:val="30"/>
                <w:szCs w:val="30"/>
              </w:rPr>
              <w:t>颁发的大数据分析专业</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中</w:t>
            </w:r>
            <w:r>
              <w:rPr>
                <w:rFonts w:hint="eastAsia" w:ascii="仿宋" w:hAnsi="仿宋" w:eastAsia="仿宋" w:cs="仿宋"/>
                <w:sz w:val="30"/>
                <w:szCs w:val="30"/>
              </w:rPr>
              <w:t>级</w:t>
            </w:r>
            <w:r>
              <w:rPr>
                <w:rFonts w:hint="eastAsia" w:ascii="仿宋" w:hAnsi="仿宋" w:eastAsia="仿宋" w:cs="仿宋"/>
                <w:sz w:val="30"/>
                <w:szCs w:val="30"/>
                <w:lang w:eastAsia="zh-CN"/>
              </w:rPr>
              <w:t>）</w:t>
            </w:r>
            <w:r>
              <w:rPr>
                <w:rFonts w:hint="eastAsia" w:ascii="仿宋" w:hAnsi="仿宋" w:eastAsia="仿宋" w:cs="仿宋"/>
                <w:sz w:val="30"/>
                <w:szCs w:val="30"/>
              </w:rPr>
              <w:t>职业技术证书</w:t>
            </w:r>
            <w:r>
              <w:rPr>
                <w:rFonts w:hint="eastAsia" w:ascii="仿宋" w:hAnsi="仿宋" w:eastAsia="仿宋" w:cs="仿宋"/>
                <w:sz w:val="30"/>
                <w:szCs w:val="30"/>
                <w:lang w:val="en-US" w:eastAsia="zh-CN"/>
              </w:rPr>
              <w:t>的得3分，具有政府部门</w:t>
            </w:r>
            <w:r>
              <w:rPr>
                <w:rFonts w:hint="eastAsia" w:ascii="仿宋" w:hAnsi="仿宋" w:eastAsia="仿宋" w:cs="仿宋"/>
                <w:sz w:val="30"/>
                <w:szCs w:val="30"/>
              </w:rPr>
              <w:t>颁发的大数据分析专业</w:t>
            </w:r>
            <w:r>
              <w:rPr>
                <w:rFonts w:hint="eastAsia" w:ascii="仿宋" w:hAnsi="仿宋" w:eastAsia="仿宋" w:cs="仿宋"/>
                <w:sz w:val="30"/>
                <w:szCs w:val="30"/>
                <w:lang w:eastAsia="zh-CN"/>
              </w:rPr>
              <w:t>（</w:t>
            </w:r>
            <w:r>
              <w:rPr>
                <w:rFonts w:hint="eastAsia" w:ascii="仿宋" w:hAnsi="仿宋" w:eastAsia="仿宋" w:cs="仿宋"/>
                <w:sz w:val="30"/>
                <w:szCs w:val="30"/>
              </w:rPr>
              <w:t>高级</w:t>
            </w:r>
            <w:r>
              <w:rPr>
                <w:rFonts w:hint="eastAsia" w:ascii="仿宋" w:hAnsi="仿宋" w:eastAsia="仿宋" w:cs="仿宋"/>
                <w:sz w:val="30"/>
                <w:szCs w:val="30"/>
                <w:lang w:eastAsia="zh-CN"/>
              </w:rPr>
              <w:t>）</w:t>
            </w:r>
            <w:r>
              <w:rPr>
                <w:rFonts w:hint="eastAsia" w:ascii="仿宋" w:hAnsi="仿宋" w:eastAsia="仿宋" w:cs="仿宋"/>
                <w:sz w:val="30"/>
                <w:szCs w:val="30"/>
              </w:rPr>
              <w:t>职业技术证书</w:t>
            </w:r>
            <w:r>
              <w:rPr>
                <w:rFonts w:hint="eastAsia" w:ascii="仿宋" w:hAnsi="仿宋" w:eastAsia="仿宋" w:cs="仿宋"/>
                <w:sz w:val="30"/>
                <w:szCs w:val="30"/>
                <w:lang w:val="en-US" w:eastAsia="zh-CN"/>
              </w:rPr>
              <w:t>得4分，满分9分。</w:t>
            </w:r>
            <w:r>
              <w:rPr>
                <w:rFonts w:hint="eastAsia" w:ascii="仿宋" w:hAnsi="仿宋" w:eastAsia="仿宋" w:cs="仿宋"/>
                <w:sz w:val="30"/>
                <w:szCs w:val="30"/>
              </w:rPr>
              <w:t>注</w:t>
            </w:r>
            <w:r>
              <w:rPr>
                <w:rFonts w:hint="eastAsia" w:ascii="仿宋" w:hAnsi="仿宋" w:eastAsia="仿宋" w:cs="仿宋"/>
                <w:sz w:val="30"/>
                <w:szCs w:val="30"/>
                <w:lang w:eastAsia="zh-CN"/>
              </w:rPr>
              <w:t>：</w:t>
            </w:r>
            <w:r>
              <w:rPr>
                <w:rFonts w:hint="eastAsia" w:ascii="仿宋" w:hAnsi="仿宋" w:eastAsia="仿宋" w:cs="仿宋"/>
                <w:sz w:val="30"/>
                <w:szCs w:val="30"/>
              </w:rPr>
              <w:t>须提供证书复印件和供应商为其缴纳近六个月</w:t>
            </w:r>
            <w:r>
              <w:rPr>
                <w:rFonts w:hint="eastAsia" w:ascii="仿宋" w:hAnsi="仿宋" w:eastAsia="仿宋" w:cs="仿宋"/>
                <w:sz w:val="30"/>
                <w:szCs w:val="30"/>
                <w:lang w:eastAsia="zh-CN"/>
              </w:rPr>
              <w:t>（</w:t>
            </w:r>
            <w:r>
              <w:rPr>
                <w:rFonts w:hint="eastAsia" w:ascii="仿宋" w:hAnsi="仿宋" w:eastAsia="仿宋" w:cs="仿宋"/>
                <w:sz w:val="30"/>
                <w:szCs w:val="30"/>
              </w:rPr>
              <w:t>不含投标截止当月</w:t>
            </w:r>
            <w:r>
              <w:rPr>
                <w:rFonts w:hint="eastAsia" w:ascii="仿宋" w:hAnsi="仿宋" w:eastAsia="仿宋" w:cs="仿宋"/>
                <w:sz w:val="30"/>
                <w:szCs w:val="30"/>
                <w:lang w:eastAsia="zh-CN"/>
              </w:rPr>
              <w:t>）</w:t>
            </w:r>
            <w:r>
              <w:rPr>
                <w:rFonts w:hint="eastAsia" w:ascii="仿宋" w:hAnsi="仿宋" w:eastAsia="仿宋" w:cs="仿宋"/>
                <w:sz w:val="30"/>
                <w:szCs w:val="30"/>
              </w:rPr>
              <w:t>任意一月社保证明材料，未提供或提供不全的不得分。</w:t>
            </w:r>
          </w:p>
        </w:tc>
      </w:tr>
      <w:tr w14:paraId="3F65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14:paraId="5B3562B4">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w:t>
            </w:r>
          </w:p>
        </w:tc>
        <w:tc>
          <w:tcPr>
            <w:tcW w:w="1438" w:type="dxa"/>
            <w:tcBorders>
              <w:tl2br w:val="nil"/>
              <w:tr2bl w:val="nil"/>
            </w:tcBorders>
            <w:shd w:val="clear" w:color="auto" w:fill="auto"/>
            <w:vAlign w:val="center"/>
          </w:tcPr>
          <w:p w14:paraId="0ED15920">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参赛视频制作团队</w:t>
            </w:r>
          </w:p>
        </w:tc>
        <w:tc>
          <w:tcPr>
            <w:tcW w:w="882" w:type="dxa"/>
            <w:tcBorders>
              <w:tl2br w:val="nil"/>
              <w:tr2bl w:val="nil"/>
            </w:tcBorders>
            <w:shd w:val="clear" w:color="auto" w:fill="auto"/>
            <w:vAlign w:val="center"/>
          </w:tcPr>
          <w:p w14:paraId="157FDE91">
            <w:pPr>
              <w:widowControl/>
              <w:spacing w:line="240" w:lineRule="auto"/>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w:t>
            </w:r>
          </w:p>
        </w:tc>
        <w:tc>
          <w:tcPr>
            <w:tcW w:w="5829" w:type="dxa"/>
            <w:tcBorders>
              <w:tl2br w:val="nil"/>
              <w:tr2bl w:val="nil"/>
            </w:tcBorders>
            <w:shd w:val="clear" w:color="auto" w:fill="auto"/>
            <w:vAlign w:val="center"/>
          </w:tcPr>
          <w:p w14:paraId="7460070E">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default" w:ascii="仿宋" w:hAnsi="仿宋" w:eastAsia="仿宋" w:cs="仿宋"/>
                <w:sz w:val="30"/>
                <w:szCs w:val="30"/>
                <w:lang w:val="en-US" w:eastAsia="zh-CN"/>
              </w:rPr>
            </w:pPr>
            <w:r>
              <w:rPr>
                <w:rFonts w:hint="eastAsia" w:ascii="仿宋" w:hAnsi="仿宋" w:eastAsia="仿宋" w:cs="仿宋"/>
                <w:sz w:val="30"/>
                <w:szCs w:val="30"/>
              </w:rPr>
              <w:t>供应商投入本项目的参赛视频制作组</w:t>
            </w:r>
            <w:r>
              <w:rPr>
                <w:rFonts w:hint="eastAsia" w:ascii="仿宋" w:hAnsi="仿宋" w:eastAsia="仿宋" w:cs="仿宋"/>
                <w:sz w:val="30"/>
                <w:szCs w:val="30"/>
                <w:lang w:val="en-US" w:eastAsia="zh-CN"/>
              </w:rPr>
              <w:t>中</w:t>
            </w:r>
            <w:r>
              <w:rPr>
                <w:rFonts w:hint="eastAsia" w:ascii="仿宋" w:hAnsi="仿宋" w:eastAsia="仿宋" w:cs="仿宋"/>
                <w:sz w:val="30"/>
                <w:szCs w:val="30"/>
              </w:rPr>
              <w:t>：</w:t>
            </w:r>
            <w:r>
              <w:rPr>
                <w:rFonts w:hint="eastAsia" w:ascii="仿宋" w:hAnsi="仿宋" w:eastAsia="仿宋" w:cs="仿宋"/>
                <w:sz w:val="30"/>
                <w:szCs w:val="30"/>
                <w:lang w:val="en-US" w:eastAsia="zh-CN"/>
              </w:rPr>
              <w:t>具备全日制本科网络与新媒体专业学历的得3分，满分3分，</w:t>
            </w:r>
            <w:r>
              <w:rPr>
                <w:rFonts w:hint="eastAsia" w:ascii="仿宋" w:hAnsi="仿宋" w:eastAsia="仿宋" w:cs="仿宋"/>
                <w:sz w:val="30"/>
                <w:szCs w:val="30"/>
              </w:rPr>
              <w:t>注</w:t>
            </w:r>
            <w:r>
              <w:rPr>
                <w:rFonts w:hint="eastAsia" w:ascii="仿宋" w:hAnsi="仿宋" w:eastAsia="仿宋" w:cs="仿宋"/>
                <w:sz w:val="30"/>
                <w:szCs w:val="30"/>
                <w:lang w:eastAsia="zh-CN"/>
              </w:rPr>
              <w:t>：</w:t>
            </w:r>
            <w:r>
              <w:rPr>
                <w:rFonts w:hint="eastAsia" w:ascii="仿宋" w:hAnsi="仿宋" w:eastAsia="仿宋" w:cs="仿宋"/>
                <w:sz w:val="30"/>
                <w:szCs w:val="30"/>
              </w:rPr>
              <w:t>须提供</w:t>
            </w:r>
            <w:r>
              <w:rPr>
                <w:rFonts w:hint="eastAsia" w:ascii="仿宋" w:hAnsi="仿宋" w:eastAsia="仿宋" w:cs="仿宋"/>
                <w:sz w:val="30"/>
                <w:szCs w:val="30"/>
                <w:lang w:val="en-US" w:eastAsia="zh-CN"/>
              </w:rPr>
              <w:t>人员学历证书复印件</w:t>
            </w:r>
            <w:r>
              <w:rPr>
                <w:rFonts w:hint="eastAsia" w:ascii="仿宋" w:hAnsi="仿宋" w:eastAsia="仿宋" w:cs="仿宋"/>
                <w:sz w:val="30"/>
                <w:szCs w:val="30"/>
              </w:rPr>
              <w:t>和供应商为其缴纳近六个月</w:t>
            </w:r>
            <w:r>
              <w:rPr>
                <w:rFonts w:hint="eastAsia" w:ascii="仿宋" w:hAnsi="仿宋" w:eastAsia="仿宋" w:cs="仿宋"/>
                <w:sz w:val="30"/>
                <w:szCs w:val="30"/>
                <w:lang w:eastAsia="zh-CN"/>
              </w:rPr>
              <w:t>（</w:t>
            </w:r>
            <w:r>
              <w:rPr>
                <w:rFonts w:hint="eastAsia" w:ascii="仿宋" w:hAnsi="仿宋" w:eastAsia="仿宋" w:cs="仿宋"/>
                <w:sz w:val="30"/>
                <w:szCs w:val="30"/>
              </w:rPr>
              <w:t>不含投标截止当月</w:t>
            </w:r>
            <w:r>
              <w:rPr>
                <w:rFonts w:hint="eastAsia" w:ascii="仿宋" w:hAnsi="仿宋" w:eastAsia="仿宋" w:cs="仿宋"/>
                <w:sz w:val="30"/>
                <w:szCs w:val="30"/>
                <w:lang w:eastAsia="zh-CN"/>
              </w:rPr>
              <w:t>）</w:t>
            </w:r>
            <w:r>
              <w:rPr>
                <w:rFonts w:hint="eastAsia" w:ascii="仿宋" w:hAnsi="仿宋" w:eastAsia="仿宋" w:cs="仿宋"/>
                <w:sz w:val="30"/>
                <w:szCs w:val="30"/>
              </w:rPr>
              <w:t>任意一月社保证明材料，未提供或提供不全的不得分</w:t>
            </w:r>
            <w:r>
              <w:rPr>
                <w:rFonts w:hint="eastAsia" w:ascii="仿宋" w:hAnsi="仿宋" w:eastAsia="仿宋" w:cs="仿宋"/>
                <w:sz w:val="30"/>
                <w:szCs w:val="30"/>
                <w:lang w:val="en-US" w:eastAsia="zh-CN"/>
              </w:rPr>
              <w:t>。</w:t>
            </w:r>
          </w:p>
        </w:tc>
      </w:tr>
      <w:tr w14:paraId="0422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922" w:type="dxa"/>
            <w:tcBorders>
              <w:tl2br w:val="nil"/>
              <w:tr2bl w:val="nil"/>
            </w:tcBorders>
            <w:shd w:val="clear" w:color="auto" w:fill="auto"/>
            <w:vAlign w:val="center"/>
          </w:tcPr>
          <w:p w14:paraId="01E2C75E">
            <w:pPr>
              <w:widowControl/>
              <w:spacing w:line="240" w:lineRule="auto"/>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4</w:t>
            </w:r>
          </w:p>
        </w:tc>
        <w:tc>
          <w:tcPr>
            <w:tcW w:w="1438" w:type="dxa"/>
            <w:tcBorders>
              <w:tl2br w:val="nil"/>
              <w:tr2bl w:val="nil"/>
            </w:tcBorders>
            <w:shd w:val="clear" w:color="auto" w:fill="auto"/>
            <w:vAlign w:val="center"/>
          </w:tcPr>
          <w:p w14:paraId="3D74F2BB">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响应承诺</w:t>
            </w:r>
          </w:p>
        </w:tc>
        <w:tc>
          <w:tcPr>
            <w:tcW w:w="882" w:type="dxa"/>
            <w:tcBorders>
              <w:tl2br w:val="nil"/>
              <w:tr2bl w:val="nil"/>
            </w:tcBorders>
            <w:shd w:val="clear" w:color="auto" w:fill="auto"/>
            <w:vAlign w:val="center"/>
          </w:tcPr>
          <w:p w14:paraId="21B88B6B">
            <w:pPr>
              <w:widowControl/>
              <w:spacing w:line="240" w:lineRule="auto"/>
              <w:jc w:val="center"/>
              <w:textAlignment w:val="center"/>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w:t>
            </w:r>
          </w:p>
        </w:tc>
        <w:tc>
          <w:tcPr>
            <w:tcW w:w="5829" w:type="dxa"/>
            <w:tcBorders>
              <w:tl2br w:val="nil"/>
              <w:tr2bl w:val="nil"/>
            </w:tcBorders>
            <w:shd w:val="clear" w:color="auto" w:fill="auto"/>
            <w:vAlign w:val="center"/>
          </w:tcPr>
          <w:p w14:paraId="09EC93B4">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center"/>
              <w:rPr>
                <w:rFonts w:hint="eastAsia" w:ascii="仿宋" w:hAnsi="仿宋" w:eastAsia="仿宋" w:cs="仿宋"/>
                <w:sz w:val="30"/>
                <w:szCs w:val="30"/>
              </w:rPr>
            </w:pPr>
            <w:r>
              <w:rPr>
                <w:rFonts w:hint="eastAsia" w:ascii="仿宋" w:hAnsi="仿宋" w:eastAsia="仿宋" w:cs="仿宋"/>
                <w:sz w:val="30"/>
                <w:szCs w:val="30"/>
              </w:rPr>
              <w:t>根据供应商所承诺的服务响应时间进行评分，响应时间≦1小时的得3分；1小时&lt;响应时间≦2小时的得2分；2小时&lt;响应时间≦3小时的得1分，响应时间超过3小时，不得分。备注：承诺函格式自拟并加盖公章。</w:t>
            </w:r>
          </w:p>
        </w:tc>
      </w:tr>
    </w:tbl>
    <w:p w14:paraId="0D63256C">
      <w:pPr>
        <w:keepNext w:val="0"/>
        <w:keepLines w:val="0"/>
        <w:pageBreakBefore w:val="0"/>
        <w:widowControl w:val="0"/>
        <w:kinsoku/>
        <w:wordWrap/>
        <w:overflowPunct w:val="0"/>
        <w:topLinePunct w:val="0"/>
        <w:autoSpaceDE/>
        <w:autoSpaceDN/>
        <w:bidi w:val="0"/>
        <w:adjustRightInd w:val="0"/>
        <w:snapToGrid w:val="0"/>
        <w:spacing w:before="157" w:beforeLines="50" w:after="157" w:afterLines="50" w:line="576" w:lineRule="exact"/>
        <w:ind w:firstLine="643" w:firstLineChars="200"/>
        <w:jc w:val="both"/>
        <w:textAlignment w:val="auto"/>
        <w:rPr>
          <w:rFonts w:hint="eastAsia" w:ascii="楷体_GB2312" w:hAnsi="楷体_GB2312" w:eastAsia="楷体_GB2312" w:cs="楷体_GB2312"/>
          <w:b/>
          <w:bCs/>
          <w:snapToGrid w:val="0"/>
          <w:kern w:val="0"/>
          <w:sz w:val="32"/>
          <w:szCs w:val="32"/>
        </w:rPr>
      </w:pPr>
      <w:r>
        <w:rPr>
          <w:rFonts w:hint="eastAsia" w:ascii="楷体_GB2312" w:hAnsi="楷体_GB2312" w:eastAsia="楷体_GB2312" w:cs="楷体_GB2312"/>
          <w:b/>
          <w:bCs/>
          <w:snapToGrid w:val="0"/>
          <w:kern w:val="0"/>
          <w:sz w:val="32"/>
          <w:szCs w:val="32"/>
          <w:lang w:eastAsia="zh-CN"/>
        </w:rPr>
        <w:t>（三）</w:t>
      </w:r>
      <w:r>
        <w:rPr>
          <w:rFonts w:hint="eastAsia" w:ascii="楷体_GB2312" w:hAnsi="楷体_GB2312" w:eastAsia="楷体_GB2312" w:cs="楷体_GB2312"/>
          <w:b/>
          <w:bCs/>
          <w:snapToGrid w:val="0"/>
          <w:kern w:val="0"/>
          <w:sz w:val="32"/>
          <w:szCs w:val="32"/>
        </w:rPr>
        <w:t>价格部分评分  满分</w:t>
      </w:r>
      <w:r>
        <w:rPr>
          <w:rFonts w:hint="eastAsia" w:ascii="楷体_GB2312" w:hAnsi="楷体_GB2312" w:eastAsia="楷体_GB2312" w:cs="楷体_GB2312"/>
          <w:b/>
          <w:bCs/>
          <w:snapToGrid w:val="0"/>
          <w:kern w:val="0"/>
          <w:sz w:val="32"/>
          <w:szCs w:val="32"/>
          <w:lang w:val="en-US" w:eastAsia="zh-CN"/>
        </w:rPr>
        <w:t>10</w:t>
      </w:r>
      <w:r>
        <w:rPr>
          <w:rFonts w:hint="eastAsia" w:ascii="楷体_GB2312" w:hAnsi="楷体_GB2312" w:eastAsia="楷体_GB2312" w:cs="楷体_GB2312"/>
          <w:b/>
          <w:bCs/>
          <w:snapToGrid w:val="0"/>
          <w:kern w:val="0"/>
          <w:sz w:val="32"/>
          <w:szCs w:val="32"/>
        </w:rPr>
        <w:t>分</w:t>
      </w:r>
    </w:p>
    <w:tbl>
      <w:tblPr>
        <w:tblStyle w:val="8"/>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2"/>
        <w:gridCol w:w="1454"/>
        <w:gridCol w:w="881"/>
        <w:gridCol w:w="5814"/>
      </w:tblGrid>
      <w:tr w14:paraId="374DA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922" w:type="dxa"/>
            <w:tcBorders>
              <w:top w:val="outset" w:color="auto" w:sz="6" w:space="0"/>
              <w:left w:val="outset" w:color="auto" w:sz="6" w:space="0"/>
              <w:bottom w:val="outset" w:color="auto" w:sz="6" w:space="0"/>
              <w:right w:val="outset" w:color="auto" w:sz="6" w:space="0"/>
            </w:tcBorders>
            <w:vAlign w:val="center"/>
          </w:tcPr>
          <w:p w14:paraId="5742A1F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454" w:type="dxa"/>
            <w:tcBorders>
              <w:top w:val="outset" w:color="auto" w:sz="6" w:space="0"/>
              <w:left w:val="outset" w:color="auto" w:sz="6" w:space="0"/>
              <w:bottom w:val="outset" w:color="auto" w:sz="6" w:space="0"/>
              <w:right w:val="outset" w:color="auto" w:sz="6" w:space="0"/>
            </w:tcBorders>
            <w:vAlign w:val="center"/>
          </w:tcPr>
          <w:p w14:paraId="2D6936FB">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项目</w:t>
            </w:r>
          </w:p>
        </w:tc>
        <w:tc>
          <w:tcPr>
            <w:tcW w:w="881" w:type="dxa"/>
            <w:tcBorders>
              <w:top w:val="outset" w:color="auto" w:sz="6" w:space="0"/>
              <w:left w:val="outset" w:color="auto" w:sz="6" w:space="0"/>
              <w:bottom w:val="outset" w:color="auto" w:sz="6" w:space="0"/>
              <w:right w:val="outset" w:color="auto" w:sz="6" w:space="0"/>
            </w:tcBorders>
            <w:vAlign w:val="center"/>
          </w:tcPr>
          <w:p w14:paraId="7FC82D5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分值</w:t>
            </w:r>
          </w:p>
        </w:tc>
        <w:tc>
          <w:tcPr>
            <w:tcW w:w="5814" w:type="dxa"/>
            <w:tcBorders>
              <w:top w:val="outset" w:color="auto" w:sz="6" w:space="0"/>
              <w:left w:val="outset" w:color="auto" w:sz="6" w:space="0"/>
              <w:bottom w:val="outset" w:color="auto" w:sz="6" w:space="0"/>
              <w:right w:val="outset" w:color="auto" w:sz="6" w:space="0"/>
            </w:tcBorders>
            <w:vAlign w:val="center"/>
          </w:tcPr>
          <w:p w14:paraId="53BD5BA3">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kern w:val="0"/>
                <w:sz w:val="28"/>
                <w:szCs w:val="28"/>
              </w:rPr>
              <w:t>评分方法描述</w:t>
            </w:r>
          </w:p>
        </w:tc>
      </w:tr>
      <w:tr w14:paraId="7363A3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922" w:type="dxa"/>
            <w:tcBorders>
              <w:top w:val="outset" w:color="auto" w:sz="6" w:space="0"/>
              <w:left w:val="outset" w:color="auto" w:sz="6" w:space="0"/>
              <w:right w:val="outset" w:color="auto" w:sz="6" w:space="0"/>
            </w:tcBorders>
            <w:vAlign w:val="center"/>
          </w:tcPr>
          <w:p w14:paraId="0516F96E">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1454" w:type="dxa"/>
            <w:tcBorders>
              <w:top w:val="outset" w:color="auto" w:sz="6" w:space="0"/>
              <w:left w:val="outset" w:color="auto" w:sz="6" w:space="0"/>
              <w:right w:val="outset" w:color="auto" w:sz="6" w:space="0"/>
            </w:tcBorders>
            <w:vAlign w:val="center"/>
          </w:tcPr>
          <w:p w14:paraId="42F3AAFF">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报价情况</w:t>
            </w:r>
          </w:p>
        </w:tc>
        <w:tc>
          <w:tcPr>
            <w:tcW w:w="881" w:type="dxa"/>
            <w:tcBorders>
              <w:top w:val="outset" w:color="auto" w:sz="6" w:space="0"/>
              <w:left w:val="outset" w:color="auto" w:sz="6" w:space="0"/>
              <w:right w:val="outset" w:color="auto" w:sz="6" w:space="0"/>
            </w:tcBorders>
            <w:vAlign w:val="center"/>
          </w:tcPr>
          <w:p w14:paraId="4D4F556D">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5814" w:type="dxa"/>
            <w:tcBorders>
              <w:top w:val="outset" w:color="auto" w:sz="6" w:space="0"/>
              <w:left w:val="outset" w:color="auto" w:sz="6" w:space="0"/>
              <w:right w:val="outset" w:color="auto" w:sz="6" w:space="0"/>
            </w:tcBorders>
            <w:vAlign w:val="center"/>
          </w:tcPr>
          <w:p w14:paraId="33834844">
            <w:pPr>
              <w:keepNext w:val="0"/>
              <w:keepLines w:val="0"/>
              <w:pageBreakBefore w:val="0"/>
              <w:widowControl w:val="0"/>
              <w:kinsoku/>
              <w:wordWrap/>
              <w:overflowPunct w:val="0"/>
              <w:topLinePunct w:val="0"/>
              <w:autoSpaceDE/>
              <w:autoSpaceDN/>
              <w:bidi w:val="0"/>
              <w:adjustRightInd w:val="0"/>
              <w:snapToGrid w:val="0"/>
              <w:spacing w:line="240" w:lineRule="auto"/>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采用低价优先法计算，即满足采购文件要求且报价最低的供应商的价格为基准价，其价格分为满分。其他供应商的价格分统一按照下列公式计算：报价得分=（基准价／报价）×价格权值</w:t>
            </w:r>
            <w:r>
              <w:rPr>
                <w:rFonts w:hint="eastAsia" w:ascii="仿宋_GB2312" w:hAnsi="仿宋_GB2312" w:eastAsia="仿宋_GB2312" w:cs="仿宋_GB2312"/>
                <w:kern w:val="0"/>
                <w:sz w:val="30"/>
                <w:szCs w:val="30"/>
                <w:lang w:val="en-US" w:eastAsia="zh-CN"/>
              </w:rPr>
              <w:t>0.10</w:t>
            </w:r>
            <w:r>
              <w:rPr>
                <w:rFonts w:hint="eastAsia" w:ascii="仿宋_GB2312" w:hAnsi="仿宋_GB2312" w:eastAsia="仿宋_GB2312" w:cs="仿宋_GB2312"/>
                <w:kern w:val="0"/>
                <w:sz w:val="30"/>
                <w:szCs w:val="30"/>
              </w:rPr>
              <w:t>×100。</w:t>
            </w:r>
            <w:r>
              <w:rPr>
                <w:rFonts w:hint="eastAsia" w:ascii="仿宋" w:hAnsi="仿宋" w:eastAsia="仿宋" w:cs="仿宋"/>
                <w:sz w:val="30"/>
                <w:szCs w:val="30"/>
              </w:rPr>
              <w:t>（结果保留两位小数）。</w:t>
            </w:r>
          </w:p>
        </w:tc>
      </w:tr>
    </w:tbl>
    <w:p w14:paraId="30B684F6">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bookmarkStart w:id="22" w:name="_GoBack"/>
      <w:bookmarkEnd w:id="22"/>
    </w:p>
    <w:p w14:paraId="6AA54847">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rPr>
      </w:pPr>
    </w:p>
    <w:p w14:paraId="7D7A5201">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黑体" w:hAnsi="黑体" w:eastAsia="黑体" w:cs="黑体"/>
          <w:snapToGrid w:val="0"/>
          <w:kern w:val="0"/>
          <w:sz w:val="32"/>
          <w:szCs w:val="32"/>
          <w:lang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5A5835-792B-474F-9C58-AEC493A6B6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669B5D5F-83BC-4D10-A873-2BEAC5FE045E}"/>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CAA8CB28-373E-40F9-A8F3-0A7B2E050105}"/>
  </w:font>
  <w:font w:name="楷体_GB2312">
    <w:panose1 w:val="02010609030101010101"/>
    <w:charset w:val="86"/>
    <w:family w:val="modern"/>
    <w:pitch w:val="default"/>
    <w:sig w:usb0="00000001" w:usb1="080E0000" w:usb2="00000000" w:usb3="00000000" w:csb0="00040000" w:csb1="00000000"/>
    <w:embedRegular r:id="rId4" w:fontKey="{30222790-9B54-4723-A67A-BDBF09852170}"/>
  </w:font>
  <w:font w:name="仿宋_GB2312">
    <w:panose1 w:val="02010609030101010101"/>
    <w:charset w:val="86"/>
    <w:family w:val="modern"/>
    <w:pitch w:val="default"/>
    <w:sig w:usb0="00000001" w:usb1="080E0000" w:usb2="00000000" w:usb3="00000000" w:csb0="00040000" w:csb1="00000000"/>
    <w:embedRegular r:id="rId5" w:fontKey="{113A55DA-A399-4B6F-B83D-2CEB1E51DBFE}"/>
  </w:font>
  <w:font w:name="方正仿宋_GB2312">
    <w:panose1 w:val="02000000000000000000"/>
    <w:charset w:val="86"/>
    <w:family w:val="auto"/>
    <w:pitch w:val="default"/>
    <w:sig w:usb0="A00002BF" w:usb1="184F6CFA" w:usb2="00000012" w:usb3="00000000" w:csb0="00040001" w:csb1="00000000"/>
    <w:embedRegular r:id="rId6" w:fontKey="{EE00EF95-4389-4FCA-9877-3502A61B4748}"/>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317A">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299E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F299E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538B"/>
    <w:rsid w:val="00DC7C1D"/>
    <w:rsid w:val="012B21E0"/>
    <w:rsid w:val="01D77E69"/>
    <w:rsid w:val="06813F88"/>
    <w:rsid w:val="06DA2848"/>
    <w:rsid w:val="073360BD"/>
    <w:rsid w:val="077A4661"/>
    <w:rsid w:val="07CF228A"/>
    <w:rsid w:val="0950017B"/>
    <w:rsid w:val="0C802C42"/>
    <w:rsid w:val="0CA02447"/>
    <w:rsid w:val="0D5D3E94"/>
    <w:rsid w:val="0DC444A5"/>
    <w:rsid w:val="0EF95E3E"/>
    <w:rsid w:val="0FE0687C"/>
    <w:rsid w:val="118A4F52"/>
    <w:rsid w:val="134F6CDF"/>
    <w:rsid w:val="137333F0"/>
    <w:rsid w:val="14472D08"/>
    <w:rsid w:val="148A7C64"/>
    <w:rsid w:val="15032E84"/>
    <w:rsid w:val="16096967"/>
    <w:rsid w:val="17FE54CE"/>
    <w:rsid w:val="18351C95"/>
    <w:rsid w:val="18E86ABE"/>
    <w:rsid w:val="18ED07C2"/>
    <w:rsid w:val="1A9D5BCA"/>
    <w:rsid w:val="1B3D2277"/>
    <w:rsid w:val="1C931680"/>
    <w:rsid w:val="1E5F09AE"/>
    <w:rsid w:val="1E6C1A16"/>
    <w:rsid w:val="1E8A6AB3"/>
    <w:rsid w:val="1EE241F9"/>
    <w:rsid w:val="204D3B51"/>
    <w:rsid w:val="20B9542D"/>
    <w:rsid w:val="21E94948"/>
    <w:rsid w:val="221E0E2E"/>
    <w:rsid w:val="23172FC9"/>
    <w:rsid w:val="23662CED"/>
    <w:rsid w:val="24044C11"/>
    <w:rsid w:val="24423496"/>
    <w:rsid w:val="24D046C0"/>
    <w:rsid w:val="2A1827B1"/>
    <w:rsid w:val="2A5E0996"/>
    <w:rsid w:val="2B1A6A27"/>
    <w:rsid w:val="2B1C018E"/>
    <w:rsid w:val="2B463D0D"/>
    <w:rsid w:val="2BD57D81"/>
    <w:rsid w:val="2C447D3A"/>
    <w:rsid w:val="2CA956B9"/>
    <w:rsid w:val="2EE61AE3"/>
    <w:rsid w:val="2F155F25"/>
    <w:rsid w:val="30586A11"/>
    <w:rsid w:val="3078676B"/>
    <w:rsid w:val="31071124"/>
    <w:rsid w:val="312E4D7E"/>
    <w:rsid w:val="312F5DB4"/>
    <w:rsid w:val="31AC6BBF"/>
    <w:rsid w:val="326D2E29"/>
    <w:rsid w:val="333077D1"/>
    <w:rsid w:val="37685806"/>
    <w:rsid w:val="39561614"/>
    <w:rsid w:val="39A75BF6"/>
    <w:rsid w:val="3A4D2A17"/>
    <w:rsid w:val="3B6B74DA"/>
    <w:rsid w:val="3B9701D8"/>
    <w:rsid w:val="3BEB698B"/>
    <w:rsid w:val="3BF71114"/>
    <w:rsid w:val="3CB52AF5"/>
    <w:rsid w:val="3D5D11C3"/>
    <w:rsid w:val="3DB2747C"/>
    <w:rsid w:val="3EC3599D"/>
    <w:rsid w:val="40522D81"/>
    <w:rsid w:val="40C17CBA"/>
    <w:rsid w:val="425F4016"/>
    <w:rsid w:val="42EC5BE6"/>
    <w:rsid w:val="4473751E"/>
    <w:rsid w:val="453F38A4"/>
    <w:rsid w:val="45D97854"/>
    <w:rsid w:val="46CC1167"/>
    <w:rsid w:val="48F965FC"/>
    <w:rsid w:val="49356520"/>
    <w:rsid w:val="497A30FC"/>
    <w:rsid w:val="49B06B1E"/>
    <w:rsid w:val="4A722B4B"/>
    <w:rsid w:val="4B11183E"/>
    <w:rsid w:val="4B8169C4"/>
    <w:rsid w:val="4D2D26C6"/>
    <w:rsid w:val="4E1E674C"/>
    <w:rsid w:val="4E2D79E9"/>
    <w:rsid w:val="50964EEE"/>
    <w:rsid w:val="51304051"/>
    <w:rsid w:val="52F33252"/>
    <w:rsid w:val="52FC4B82"/>
    <w:rsid w:val="53410A67"/>
    <w:rsid w:val="54574766"/>
    <w:rsid w:val="5536079B"/>
    <w:rsid w:val="5668401C"/>
    <w:rsid w:val="578A5C34"/>
    <w:rsid w:val="58737694"/>
    <w:rsid w:val="58CF7431"/>
    <w:rsid w:val="58E16365"/>
    <w:rsid w:val="5C2D0942"/>
    <w:rsid w:val="5C7D6D34"/>
    <w:rsid w:val="5DC6362C"/>
    <w:rsid w:val="5F831334"/>
    <w:rsid w:val="616358D2"/>
    <w:rsid w:val="61796106"/>
    <w:rsid w:val="640A404B"/>
    <w:rsid w:val="6485719E"/>
    <w:rsid w:val="66757D60"/>
    <w:rsid w:val="68C7017F"/>
    <w:rsid w:val="69820566"/>
    <w:rsid w:val="69FB2E81"/>
    <w:rsid w:val="6B4C26F3"/>
    <w:rsid w:val="6DAE20B4"/>
    <w:rsid w:val="6DB620A5"/>
    <w:rsid w:val="6E6C10DF"/>
    <w:rsid w:val="7016507D"/>
    <w:rsid w:val="731735E6"/>
    <w:rsid w:val="732775A1"/>
    <w:rsid w:val="73FA4A43"/>
    <w:rsid w:val="74736BDD"/>
    <w:rsid w:val="77376F40"/>
    <w:rsid w:val="79C57617"/>
    <w:rsid w:val="7BC462D5"/>
    <w:rsid w:val="7C5A50F0"/>
    <w:rsid w:val="7C7062F5"/>
    <w:rsid w:val="7D33476A"/>
    <w:rsid w:val="7D75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rFonts w:ascii="仿宋" w:hAnsi="仿宋" w:eastAsia="宋体" w:cs="仿宋"/>
      <w:sz w:val="2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qFormat/>
    <w:uiPriority w:val="0"/>
    <w:pPr>
      <w:adjustRightInd w:val="0"/>
      <w:snapToGrid w:val="0"/>
      <w:spacing w:line="594" w:lineRule="exact"/>
      <w:ind w:firstLine="100" w:firstLineChars="100"/>
    </w:pPr>
    <w:rPr>
      <w:rFonts w:ascii="Calibri" w:hAnsi="Calibri" w:eastAsia="方正仿宋简体"/>
      <w:sz w:val="32"/>
      <w:szCs w:val="24"/>
    </w:rPr>
  </w:style>
  <w:style w:type="paragraph" w:customStyle="1" w:styleId="10">
    <w:name w:val="null3"/>
    <w:qFormat/>
    <w:uiPriority w:val="0"/>
    <w:rPr>
      <w:rFonts w:hint="eastAsia" w:ascii="Calibri" w:hAnsi="Calibri" w:eastAsia="宋体" w:cs="Times New Roman"/>
      <w:lang w:val="en-US" w:eastAsia="zh-Hans"/>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unhideWhenUsed/>
    <w:qFormat/>
    <w:uiPriority w:val="0"/>
    <w:rPr>
      <w:rFonts w:ascii="Times New Roman" w:hAnsi="Times New Roman" w:eastAsia="宋体"/>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3032</Words>
  <Characters>3127</Characters>
  <Lines>0</Lines>
  <Paragraphs>0</Paragraphs>
  <TotalTime>12</TotalTime>
  <ScaleCrop>false</ScaleCrop>
  <LinksUpToDate>false</LinksUpToDate>
  <CharactersWithSpaces>3137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2025-07-17T06:03:00Z</dcterms:created>
  <dc:creator>grt</dc:creator>
  <cp:lastModifiedBy>心流</cp:lastModifiedBy>
  <cp:lastPrinted>2025-08-29T01:18:59Z</cp:lastPrinted>
  <dcterms:modified xsi:type="dcterms:W3CDTF">2025-08-29T01:27:07Z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eyJoZGlkIjoiNDk1NmI1YTk4NjVmYmI3ZWNlZmYxYjJhNTEwYTRiODIiLCJ1c2VySWQiOiI2MjIxNjExNjkifQ==</vt:lpwstr>
  </property>
  <property fmtid="{D5CDD505-2E9C-101B-9397-08002B2CF9AE}" pid="4" name="ICV">
    <vt:lpwstr>89F908D90FFC443EA04B22C9B75C7012_13</vt:lpwstr>
  </property>
</Properties>
</file>